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 approach leveraging LLMs in supporting PCK development: </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Aligning Theory and Practice</w:t>
      </w:r>
    </w:p>
    <w:p w:rsidR="00000000" w:rsidDel="00000000" w:rsidP="00000000" w:rsidRDefault="00000000" w:rsidRPr="00000000" w14:paraId="00000003">
      <w:pPr>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Suparna Chatterjee</w:t>
      </w:r>
    </w:p>
    <w:p w:rsidR="00000000" w:rsidDel="00000000" w:rsidP="00000000" w:rsidRDefault="00000000" w:rsidRPr="00000000" w14:paraId="00000005">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Curriculum and Instruction</w:t>
      </w:r>
    </w:p>
    <w:p w:rsidR="00000000" w:rsidDel="00000000" w:rsidP="00000000" w:rsidRDefault="00000000" w:rsidRPr="00000000" w14:paraId="00000006">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New Mexico State University</w:t>
      </w:r>
    </w:p>
    <w:p w:rsidR="00000000" w:rsidDel="00000000" w:rsidP="00000000" w:rsidRDefault="00000000" w:rsidRPr="00000000" w14:paraId="00000007">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United States</w:t>
      </w:r>
    </w:p>
    <w:p w:rsidR="00000000" w:rsidDel="00000000" w:rsidP="00000000" w:rsidRDefault="00000000" w:rsidRPr="00000000" w14:paraId="00000008">
      <w:pPr>
        <w:spacing w:line="240" w:lineRule="auto"/>
        <w:jc w:val="center"/>
        <w:rPr>
          <w:rFonts w:ascii="Times New Roman" w:cs="Times New Roman" w:eastAsia="Times New Roman" w:hAnsi="Times New Roman"/>
          <w:sz w:val="20"/>
          <w:szCs w:val="20"/>
        </w:rPr>
      </w:pPr>
      <w:hyperlink r:id="rId6">
        <w:r w:rsidDel="00000000" w:rsidR="00000000" w:rsidRPr="00000000">
          <w:rPr>
            <w:rFonts w:ascii="Times New Roman" w:cs="Times New Roman" w:eastAsia="Times New Roman" w:hAnsi="Times New Roman"/>
            <w:color w:val="0563c1"/>
            <w:sz w:val="20"/>
            <w:szCs w:val="20"/>
            <w:u w:val="single"/>
            <w:rtl w:val="0"/>
          </w:rPr>
          <w:t xml:space="preserve">suparna@nmsu.edu</w:t>
        </w:r>
      </w:hyperlink>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Melissa Warr</w:t>
      </w:r>
    </w:p>
    <w:p w:rsidR="00000000" w:rsidDel="00000000" w:rsidP="00000000" w:rsidRDefault="00000000" w:rsidRPr="00000000" w14:paraId="0000000B">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Curriculum and Instruction</w:t>
      </w:r>
    </w:p>
    <w:p w:rsidR="00000000" w:rsidDel="00000000" w:rsidP="00000000" w:rsidRDefault="00000000" w:rsidRPr="00000000" w14:paraId="0000000C">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New Mexico State University</w:t>
      </w:r>
    </w:p>
    <w:p w:rsidR="00000000" w:rsidDel="00000000" w:rsidP="00000000" w:rsidRDefault="00000000" w:rsidRPr="00000000" w14:paraId="0000000D">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United States</w:t>
      </w:r>
    </w:p>
    <w:p w:rsidR="00000000" w:rsidDel="00000000" w:rsidP="00000000" w:rsidRDefault="00000000" w:rsidRPr="00000000" w14:paraId="0000000E">
      <w:pPr>
        <w:spacing w:line="240" w:lineRule="auto"/>
        <w:jc w:val="center"/>
        <w:rPr>
          <w:rFonts w:ascii="Times New Roman" w:cs="Times New Roman" w:eastAsia="Times New Roman" w:hAnsi="Times New Roman"/>
          <w:sz w:val="20"/>
          <w:szCs w:val="20"/>
        </w:rPr>
      </w:pPr>
      <w:hyperlink r:id="rId7">
        <w:r w:rsidDel="00000000" w:rsidR="00000000" w:rsidRPr="00000000">
          <w:rPr>
            <w:rFonts w:ascii="Times New Roman" w:cs="Times New Roman" w:eastAsia="Times New Roman" w:hAnsi="Times New Roman"/>
            <w:color w:val="1155cc"/>
            <w:sz w:val="20"/>
            <w:szCs w:val="20"/>
            <w:u w:val="single"/>
            <w:rtl w:val="0"/>
          </w:rPr>
          <w:t xml:space="preserve">warr@nmsu.edu</w:t>
        </w:r>
      </w:hyperlink>
      <w:r w:rsidDel="00000000" w:rsidR="00000000" w:rsidRPr="00000000">
        <w:rPr>
          <w:rtl w:val="0"/>
        </w:rPr>
      </w:r>
    </w:p>
    <w:p w:rsidR="00000000" w:rsidDel="00000000" w:rsidP="00000000" w:rsidRDefault="00000000" w:rsidRPr="00000000" w14:paraId="0000000F">
      <w:pPr>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spacing w:after="240" w:before="240" w:line="240" w:lineRule="auto"/>
        <w:ind w:left="7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Abstract</w:t>
      </w:r>
      <w:r w:rsidDel="00000000" w:rsidR="00000000" w:rsidRPr="00000000">
        <w:rPr>
          <w:rFonts w:ascii="Times New Roman" w:cs="Times New Roman" w:eastAsia="Times New Roman" w:hAnsi="Times New Roman"/>
          <w:sz w:val="18"/>
          <w:szCs w:val="18"/>
          <w:rtl w:val="0"/>
        </w:rPr>
        <w:t xml:space="preserve">: The role-playing abilities of Large Language Models (LLMs) prompted us to investigate their potential in developing pedagogical content knowledge (PCK) for teacher candidates. We engaged an LLM as a third-grade student in mathematics and science scenarios, guiding it toward new conceptual understandings. These role-play interactions deepened our exploration of the relationship between content and learner cognition. We initiated the first stage of an Educational Design Research (EDR) study to address two key questions for (1) Intervention exploration: What design principles facilitate PCK development using LLMs? and (2) Theoretical Understanding: What types of thinking and connections emerge in this process? Findings highlight three themes: LLMs enhance thought processes, feedback, and content explanation; reflection before, during, and after interactions fosters improvement; and scaffolding is essential for productive engagement. These insights inform three design principles—structure, modeling, and reflection—guiding future research investigating the second stage of EDR for co-exploration with teacher educators to refine theoretical understanding and apply design principles in instructional design.</w:t>
      </w:r>
      <w:r w:rsidDel="00000000" w:rsidR="00000000" w:rsidRPr="00000000">
        <w:rPr>
          <w:rtl w:val="0"/>
        </w:rPr>
      </w:r>
    </w:p>
    <w:p w:rsidR="00000000" w:rsidDel="00000000" w:rsidP="00000000" w:rsidRDefault="00000000" w:rsidRPr="00000000" w14:paraId="00000012">
      <w:pPr>
        <w:spacing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4">
      <w:pPr>
        <w:spacing w:after="240" w:before="240"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Large language models (LLMs) like ChatGPT are highly effective in simulating human-like interactions, making them valuable tools for education. One of their key strengths is their ability to take on different personas, allowing users to engage in realistic and dynamic learning experiences. For example, an LLM can act as a third-grade student who has misconceptions about science or math. The model can respond with typical misunderstandings, such as believing that phases of the moon are caused by earth’s shadow or that multiplication always makes numbers larger. A user—such as a teacher-in-training—can then interact with this virtual student, diagnosing the misconceptions and guiding the AI persona toward correct conceptual understandings.</w:t>
      </w:r>
    </w:p>
    <w:p w:rsidR="00000000" w:rsidDel="00000000" w:rsidP="00000000" w:rsidRDefault="00000000" w:rsidRPr="00000000" w14:paraId="00000015">
      <w:pPr>
        <w:spacing w:after="240" w:before="240" w:line="259"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type of simulation can be beneficial for developing pedagogical content knowledge (PCK)—the specialized knowledge teachers need to effectively teach subject matter (Shulman,1986). PCK includes understanding common student misconceptions, knowing how to explain concepts in multiple ways, and choosing the most effective teaching strategies for different learners. Traditionally, teachers develop PCK through years of classroom experience, as they encounter students' misunderstandings and refine their instructional approaches. However, LLM-based simulations provide an alternative that is powerful, inexpensive, and low-risk, allowing pre-service (teacher candidates) and in-service (practicing) teachers to build expertise without the necessity of having real-world classrooms for practicing with students.</w:t>
      </w:r>
    </w:p>
    <w:p w:rsidR="00000000" w:rsidDel="00000000" w:rsidP="00000000" w:rsidRDefault="00000000" w:rsidRPr="00000000" w14:paraId="00000016">
      <w:pPr>
        <w:spacing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Literature Review</w:t>
      </w:r>
    </w:p>
    <w:p w:rsidR="00000000" w:rsidDel="00000000" w:rsidP="00000000" w:rsidRDefault="00000000" w:rsidRPr="00000000" w14:paraId="00000017">
      <w:pPr>
        <w:spacing w:after="240" w:before="240"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Role Play with Large Language Models for PCK Development</w:t>
      </w:r>
      <w:r w:rsidDel="00000000" w:rsidR="00000000" w:rsidRPr="00000000">
        <w:rPr>
          <w:rtl w:val="0"/>
        </w:rPr>
      </w:r>
    </w:p>
    <w:p w:rsidR="00000000" w:rsidDel="00000000" w:rsidP="00000000" w:rsidRDefault="00000000" w:rsidRPr="00000000" w14:paraId="00000018">
      <w:pPr>
        <w:spacing w:after="240" w:before="240" w:line="259"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The application of generative AI in education has expanded in recent years, with researchers highlighting several key areas of use. Several categories of educational tasks such as, profiling and labeling. detection, assessment and grading, teaching support, prediction, knowledge representation, feedback, content generation, and recommendation has been identified in educational contexts that leverage LLM’s potential</w:t>
      </w:r>
      <w:r w:rsidDel="00000000" w:rsidR="00000000" w:rsidRPr="00000000">
        <w:rPr>
          <w:rFonts w:ascii="Times New Roman" w:cs="Times New Roman" w:eastAsia="Times New Roman" w:hAnsi="Times New Roman"/>
          <w:sz w:val="20"/>
          <w:szCs w:val="20"/>
          <w:highlight w:val="white"/>
          <w:rtl w:val="0"/>
        </w:rPr>
        <w:t xml:space="preserve"> (Yan et al., 2024). For the category of teaching support the educational tasks LLM has been found to accomplish are supporting classroom teaching, building learning community, virtual conversation partner, identifying teacher activity and generating questions and answers (Yan et al., 2024). When it comes to generation tasks, innovations powered by LLMs have shown strong performance across various educational applications for lesson planning and creating instructional material (Trust et al., 2023), tailoring instruction to individual student needs (Baidoo-Anu &amp; Anash, 2023). Another significant use of AI in education is in assessment and evaluation, where it assists educators in grading and providing feedback (Baidoo-Anu &amp; Anash, 2023). Researchers found that ChatGPT can play the roles of interlocutor, content provider, teaching assistant, and evaluator for educators (Jeon &amp; Lee, 2023). Their study emphasizes that while AI tools can support various aspects of teaching, their effectiveness ultimately depends on educators' pedagogical expertise in integrating them into the learning process.</w:t>
      </w:r>
    </w:p>
    <w:p w:rsidR="00000000" w:rsidDel="00000000" w:rsidP="00000000" w:rsidRDefault="00000000" w:rsidRPr="00000000" w14:paraId="00000019">
      <w:pPr>
        <w:spacing w:after="240" w:before="240" w:line="259" w:lineRule="auto"/>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sz w:val="20"/>
          <w:szCs w:val="20"/>
          <w:highlight w:val="white"/>
          <w:rtl w:val="0"/>
        </w:rPr>
        <w:tab/>
        <w:t xml:space="preserve">Shanahan et al., (2023) describes that the concept of role-play where an LLM-based</w:t>
      </w:r>
      <w:r w:rsidDel="00000000" w:rsidR="00000000" w:rsidRPr="00000000">
        <w:rPr>
          <w:rFonts w:ascii="Times New Roman" w:cs="Times New Roman" w:eastAsia="Times New Roman" w:hAnsi="Times New Roman"/>
          <w:color w:val="222222"/>
          <w:sz w:val="20"/>
          <w:szCs w:val="20"/>
          <w:highlight w:val="white"/>
          <w:rtl w:val="0"/>
        </w:rPr>
        <w:t xml:space="preserve"> dialogue agent engages in role-playing a character can be useful in understanding interactions. A predefined dialogue prompt is the starting point when a dialogue agent starts role-playing and advancing the conversation process. The role play proceeds accordingly based on revision and refinement of the dialogue prompt. Agents that simulate realistic human behavior can enhance interactive applications, such as prototyping tools, immersive environments, and interpersonal communication rehearsal spaces (Park et al., 2023). There are several reasons for potential use of LLMs in agent-based modeling and simulation.  First, even when there is not enough and clear instructions, LLM agents are capable of role-playing (Team, 2022), second, using adaptive planning, LLM agents can react similarly to a real human (Schick et al., 2024; Xi et al., 2023) and third, LLM agents are able to communicate with other agents and real people (Boiko et al., 2023; Gao et al., 2023; Li et al., 2023; Park et al., 2023, 2022). As a result, LLM agents have the potential to represent a new paradigm for simulation with human-like interaction.</w:t>
      </w:r>
    </w:p>
    <w:p w:rsidR="00000000" w:rsidDel="00000000" w:rsidP="00000000" w:rsidRDefault="00000000" w:rsidRPr="00000000" w14:paraId="0000001A">
      <w:pPr>
        <w:spacing w:after="240" w:before="240" w:line="259" w:lineRule="auto"/>
        <w:ind w:firstLine="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highlight w:val="white"/>
          <w:rtl w:val="0"/>
        </w:rPr>
        <w:t xml:space="preserve">LLMs used for teaching activities like role-playing are somewhat rare. This application is not even thought of as an option in many studies that look at how teachers utilize LLMs (e.g., Microsoft, 2024; Open Innovation Team and Department for Education, 2024).</w:t>
      </w:r>
      <w:r w:rsidDel="00000000" w:rsidR="00000000" w:rsidRPr="00000000">
        <w:rPr>
          <w:rFonts w:ascii="Times New Roman" w:cs="Times New Roman" w:eastAsia="Times New Roman" w:hAnsi="Times New Roman"/>
          <w:sz w:val="20"/>
          <w:szCs w:val="20"/>
          <w:highlight w:val="white"/>
          <w:rtl w:val="0"/>
        </w:rPr>
        <w:t xml:space="preserve"> However, role-playing might be a useful teaching tool because LLMs can create and embody a variety of identities (Schuller et al., 2024). The formation of pedagogical content knowledge (PCK) is one particular area where LLM-based role-plays may have a particularly significant impact. In this study we examine this where LLM acts as a third grade student who is engaged in math and science learning scenarios. The researchers acted as teachers teaching the LLM student and by </w:t>
      </w:r>
      <w:r w:rsidDel="00000000" w:rsidR="00000000" w:rsidRPr="00000000">
        <w:rPr>
          <w:rFonts w:ascii="Times New Roman" w:cs="Times New Roman" w:eastAsia="Times New Roman" w:hAnsi="Times New Roman"/>
          <w:sz w:val="20"/>
          <w:szCs w:val="20"/>
          <w:rtl w:val="0"/>
        </w:rPr>
        <w:t xml:space="preserve">practicing with an AI-powered virtual student we wanted to find how it impacts PCK development of teachers. Teachers practicing with the LLM-student can test different instructional strategies, refine their questioning techniques, and gain confidence in addressing misconceptions. This kind of interactive, low-stakes learning opportunity can enhance teacher preparation and professional development, ultimately improving real-world teaching effectiveness. In this way LLM can offer temporary assistance with a focus on the learners' acquisition of pertinent knowledge and abilities and then removing the assistance which is referred to as pedagogical scaffolding (Bruner, 1970). </w:t>
      </w:r>
      <w:r w:rsidDel="00000000" w:rsidR="00000000" w:rsidRPr="00000000">
        <w:rPr>
          <w:rFonts w:ascii="Times New Roman" w:cs="Times New Roman" w:eastAsia="Times New Roman" w:hAnsi="Times New Roman"/>
          <w:color w:val="0d0d0d"/>
          <w:sz w:val="20"/>
          <w:szCs w:val="20"/>
          <w:highlight w:val="white"/>
          <w:rtl w:val="0"/>
        </w:rPr>
        <w:t xml:space="preserve">Wu (2024) reported on LLMs—specifically, ChatGPT in supporting students acquiring new skills and improving comprehension. Again, teachers must get preparatory training to improve their reflective acts, that is so they can learn to consider not just what they are doing but also their thinking (Mortari, 2012). </w:t>
      </w:r>
      <w:r w:rsidDel="00000000" w:rsidR="00000000" w:rsidRPr="00000000">
        <w:rPr>
          <w:rFonts w:ascii="Times New Roman" w:cs="Times New Roman" w:eastAsia="Times New Roman" w:hAnsi="Times New Roman"/>
          <w:sz w:val="20"/>
          <w:szCs w:val="20"/>
          <w:rtl w:val="0"/>
        </w:rPr>
        <w:t xml:space="preserve">Thus, the process of role play with LLM can support teachers by scaffolding and improving their reflective abilities.  </w:t>
      </w:r>
      <w:r w:rsidDel="00000000" w:rsidR="00000000" w:rsidRPr="00000000">
        <w:rPr>
          <w:rtl w:val="0"/>
        </w:rPr>
      </w:r>
    </w:p>
    <w:p w:rsidR="00000000" w:rsidDel="00000000" w:rsidP="00000000" w:rsidRDefault="00000000" w:rsidRPr="00000000" w14:paraId="0000001B">
      <w:pPr>
        <w:pStyle w:val="Heading1"/>
        <w:keepNext w:val="0"/>
        <w:keepLines w:val="0"/>
        <w:widowControl w:val="0"/>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Theoretical Framework</w:t>
      </w:r>
    </w:p>
    <w:p w:rsidR="00000000" w:rsidDel="00000000" w:rsidP="00000000" w:rsidRDefault="00000000" w:rsidRPr="00000000" w14:paraId="0000001C">
      <w:pPr>
        <w:spacing w:after="240" w:before="240" w:line="259"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Reflection and Scaffolding for PCK Development</w:t>
      </w:r>
    </w:p>
    <w:p w:rsidR="00000000" w:rsidDel="00000000" w:rsidP="00000000" w:rsidRDefault="00000000" w:rsidRPr="00000000" w14:paraId="0000001D">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According to Boud et al., (2000), the term "reflection" has become more prevalent in the pedagogical discourse and is regarded as a key instrument in experience-based learning. Educational literature describes reflection as an advantageous activity for practitioners (Gould &amp; Taylor, 1996; Mayes, 2001) and researchers (Steier, 1995; Dahlberg et al., 2002). In teacher education, where "how-to" guides are frequently used to provide methods for facilitating teachers becoming reflective practitioners, reflection is especially useful (Korthagen &amp; Kessels, 1999). </w:t>
      </w:r>
    </w:p>
    <w:p w:rsidR="00000000" w:rsidDel="00000000" w:rsidP="00000000" w:rsidRDefault="00000000" w:rsidRPr="00000000" w14:paraId="0000001E">
      <w:pPr>
        <w:spacing w:after="0" w:before="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Pallascio and Lafourtune (2000) discuss the kinds of experiences that might be created to encourage reflective thinking in teacher preparation programs. Zeichner and Liston (1996) referred to “traditions of reflective teaching” as an approach about reflection and within it the “social efficiency tradition” of reflection  drives educators to use instructional techniques recommended by educational research (1996, pp. 51–62). Reflection is essential to the development of practitioner knowledge (Schön, 1983) and Schön defined two types of reflection: reflection-in and reflection-on-action. Reflection-in-action embodies Dewey's (1993) idea of being receptive to the results of our acts; we can be effective in a given circumstance by continuously modifying our actions in reaction to the outcomes of our actions. On the other hand, reflection-on-action refers to thinking back on an incident and analyzing what was and could have, which can guide future practices even though it cannot directly alter the past. </w:t>
      </w:r>
    </w:p>
    <w:p w:rsidR="00000000" w:rsidDel="00000000" w:rsidP="00000000" w:rsidRDefault="00000000" w:rsidRPr="00000000" w14:paraId="0000001F">
      <w:pPr>
        <w:spacing w:after="0" w:before="0" w:line="24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Reflection-in and on-action affect practitioners' knowledge and can effectively impact teacher candidates when they get support (Umutlu &amp; Kim, 2020). The "role of teachers and others in supporting the learner's development and providing support structures to get to that next stage or level" is how Vygotsky characterized scaffolding instruction (Raymond, 2000, p. 176). Scaffolds are momentary and scaffolding is offered by the more experienced person, who gradually withdraws the support as the learner's skills improve. Ultimately the learner masters the concepts and completes tasks (Chang et al., 2002) and becomes an independent and self regulating learner.  According to Vygotsky the learner develops “more sophisticated cognitive systems,…the system of knowledge itself becomes part of the scaffold or social support for the new learning” (Raymond, 2000, p. 176). According to Bransford et al., (2000) scaffolds provided activities that model and clearly define the performance expectation associated with the activity. </w:t>
      </w:r>
    </w:p>
    <w:p w:rsidR="00000000" w:rsidDel="00000000" w:rsidP="00000000" w:rsidRDefault="00000000" w:rsidRPr="00000000" w14:paraId="00000021">
      <w:pPr>
        <w:spacing w:after="240" w:before="240" w:line="259" w:lineRule="auto"/>
        <w:ind w:firstLine="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LLM-based role-play applications enhance PCK development by providing teachers the opportunity to engage in reflection-in-action and reflection-on-action but it is unlikely that it will happen without scaffolding. This process offers the cycle of benefits by practicing, reflection, and revision and equips teachers with the critical skills needed to develop PCK. To better understand the process this study applied educational design research (EDR)—a methodology focused on designing, testing, and refining educational interventions in real-world contexts. Design principles established as a result of this study ensure that LLMs can be used effectively for developing PCK. </w:t>
      </w:r>
      <w:r w:rsidDel="00000000" w:rsidR="00000000" w:rsidRPr="00000000">
        <w:rPr>
          <w:rtl w:val="0"/>
        </w:rPr>
      </w:r>
    </w:p>
    <w:p w:rsidR="00000000" w:rsidDel="00000000" w:rsidP="00000000" w:rsidRDefault="00000000" w:rsidRPr="00000000" w14:paraId="00000022">
      <w:pPr>
        <w:spacing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Methods</w:t>
      </w:r>
    </w:p>
    <w:p w:rsidR="00000000" w:rsidDel="00000000" w:rsidP="00000000" w:rsidRDefault="00000000" w:rsidRPr="00000000" w14:paraId="00000023">
      <w:pPr>
        <w:spacing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applied educational design research (EDR), a methodology that uses an iterative process to develop both an intervention and theoretical knowledge (McKenney &amp; Reeves, 2020) to conduct this research. EDR is a type of design-based research (DBR) methodology (Brown 1992; Barab &amp; Squire, 2004; Sandoval, 2014; Bakker, 2018). Figure 1 provides McKenney and Reeve’s (2020) generic model of EDR, illustrating the iterative development of both the intervention and theory. </w:t>
      </w:r>
    </w:p>
    <w:p w:rsidR="00000000" w:rsidDel="00000000" w:rsidP="00000000" w:rsidRDefault="00000000" w:rsidRPr="00000000" w14:paraId="00000025">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Figure 1</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7">
      <w:pPr>
        <w:spacing w:line="259"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Generic Model for Conducting Educational Design Research</w:t>
      </w:r>
    </w:p>
    <w:p w:rsidR="00000000" w:rsidDel="00000000" w:rsidP="00000000" w:rsidRDefault="00000000" w:rsidRPr="00000000" w14:paraId="00000028">
      <w:pPr>
        <w:pBdr>
          <w:top w:color="e3e3e3" w:space="0" w:sz="0" w:val="none"/>
          <w:left w:color="e3e3e3" w:space="0" w:sz="0" w:val="none"/>
          <w:bottom w:color="e3e3e3" w:space="0" w:sz="0" w:val="none"/>
          <w:right w:color="e3e3e3" w:space="0" w:sz="0" w:val="none"/>
          <w:between w:color="e3e3e3" w:space="0" w:sz="0" w:val="none"/>
        </w:pBdr>
        <w:shd w:fill="ffffff" w:val="clea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Pr>
        <w:drawing>
          <wp:inline distB="114300" distT="114300" distL="114300" distR="114300">
            <wp:extent cx="4657725" cy="1977084"/>
            <wp:effectExtent b="0" l="0" r="0" t="0"/>
            <wp:docPr id="1" name="image1.png"/>
            <a:graphic>
              <a:graphicData uri="http://schemas.openxmlformats.org/drawingml/2006/picture">
                <pic:pic>
                  <pic:nvPicPr>
                    <pic:cNvPr id="0" name="image1.png"/>
                    <pic:cNvPicPr preferRelativeResize="0"/>
                  </pic:nvPicPr>
                  <pic:blipFill>
                    <a:blip r:embed="rId8"/>
                    <a:srcRect b="7052" l="0" r="0" t="0"/>
                    <a:stretch>
                      <a:fillRect/>
                    </a:stretch>
                  </pic:blipFill>
                  <pic:spPr>
                    <a:xfrm>
                      <a:off x="0" y="0"/>
                      <a:ext cx="4657725" cy="1977084"/>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Note. From McKenney &amp; Reeves (2020). Used with permission of the authors.</w:t>
      </w:r>
      <w:r w:rsidDel="00000000" w:rsidR="00000000" w:rsidRPr="00000000">
        <w:rPr>
          <w:rtl w:val="0"/>
        </w:rPr>
      </w:r>
    </w:p>
    <w:p w:rsidR="00000000" w:rsidDel="00000000" w:rsidP="00000000" w:rsidRDefault="00000000" w:rsidRPr="00000000" w14:paraId="0000002A">
      <w:pPr>
        <w:spacing w:line="259" w:lineRule="auto"/>
        <w:ind w:firstLine="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spacing w:line="259" w:lineRule="auto"/>
        <w:ind w:firstLine="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The research questions for the Phase 1 of the EDR study are: (1) Intervention Exploration: What design principles might support success? (2) Theoretical Understanding: What types of cognitive processes does the participant engage in during this activity? In this research the two authors participated as both researchers and subjects. As faculty members at a university in the Southwest Borderlands of the United States, both have expertise in design and educational technology, with Suparna specializing in science education and Melissa in mathematics. The study served as an initial exploration of using LLMs in role-play to develop pedagogical content knowledge (PCK) among teacher candidates. Rather than providing conclusive results, it aimed to establish a preliminary design and theoretical framework for future refinement through research involving teacher educators and candidates. While the study’s limited scope could be seen as a constraint, its iterative design and reflective approach laid the groundwork for further investigation. Data collection focused on gathering design artifacts and researcher reflections, following a self-study DBR approach (Pastons &amp; Hijalmarson, 2017). Data included screen recordings of researcher interactions with LLMs, chat transcripts with prompts, and written reflections. Researchers documented their thought processes by recording their screens while speaking aloud (Koro-Ljunberg et al., 2012), allowing for real-time capture of decision-making and self-questioning. After completing the role-play experiments, they wrote reflections on their experiences. The analysis involved reviewing screen recordings and reflections both independently and collaboratively. Researchers first analyzed each other’s recordings, writing reflective memos in response to research questions (Saldana, 2016), then revisited their own recordings to deepen their observations. Through discussions, they identified both challenges and benefits of the design, integrating insights from the activity and their internal thought processes. This combined approach informed the study’s findings, which are presented in the following section. The designer is not only creating the intervention but also reflecting on how learning occurs during the intervention. Parsons and Hjalmarson highlighted the power of critical collaboration, where researchers provide one another with feedback and analysis, furthering the depth of the analysis. We applied this approach to refine our design and deepen our understanding of its dynamics. </w:t>
      </w:r>
      <w:r w:rsidDel="00000000" w:rsidR="00000000" w:rsidRPr="00000000">
        <w:rPr>
          <w:rtl w:val="0"/>
        </w:rPr>
      </w:r>
    </w:p>
    <w:p w:rsidR="00000000" w:rsidDel="00000000" w:rsidP="00000000" w:rsidRDefault="00000000" w:rsidRPr="00000000" w14:paraId="0000002C">
      <w:pPr>
        <w:spacing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line="259"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4"/>
          <w:szCs w:val="24"/>
          <w:rtl w:val="0"/>
        </w:rPr>
        <w:t xml:space="preserve">Findings</w:t>
      </w:r>
      <w:r w:rsidDel="00000000" w:rsidR="00000000" w:rsidRPr="00000000">
        <w:rPr>
          <w:rtl w:val="0"/>
        </w:rPr>
      </w:r>
    </w:p>
    <w:p w:rsidR="00000000" w:rsidDel="00000000" w:rsidP="00000000" w:rsidRDefault="00000000" w:rsidRPr="00000000" w14:paraId="0000002E">
      <w:pPr>
        <w:widowControl w:val="0"/>
        <w:spacing w:before="159" w:line="278.00000000000006" w:lineRule="auto"/>
        <w:ind w:left="0" w:right="17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data analysis revealed three key themes: the uniqueness of LLM, the role of scaffolding, and the significance of reflection. While peer-to-peer role play is common in teacher education to develop teaching skills and PCK, engaging in role play with an LLM presents distinct advantages and challenges due to LLM’s unique characteristics. This approach is not inherently superior or inferior to traditional peer interactions, but rather offers a different set of affordances that can complement existing methods. Our analysis identified five specific elements that distinguish LLM-based practice: the ability to enhance and extend one's thought process, improved clarity and depth in content explanations, flexibility in time and opportunities for repeated practice, the presence of built-in scaffolding to support learning, and the availability of both generic and specific feedback. These elements contribute to a unique learning experience that may support in refining their instructional strategies in novel ways. </w:t>
      </w:r>
      <w:r w:rsidDel="00000000" w:rsidR="00000000" w:rsidRPr="00000000">
        <w:rPr>
          <w:rFonts w:ascii="Times New Roman" w:cs="Times New Roman" w:eastAsia="Times New Roman" w:hAnsi="Times New Roman"/>
          <w:sz w:val="20"/>
          <w:szCs w:val="20"/>
          <w:rtl w:val="0"/>
        </w:rPr>
        <w:t xml:space="preserve"> </w:t>
        <w:tab/>
        <w:t xml:space="preserve">As we explored the affordances of LLM we could connect the design principles where we emphasize three practices for future iterations: structure, model, and reflect (Chatterjee &amp; Warr, 2024). Teachers can create more sophisticated and successful methods of teaching a subject by thinking back on their own teaching experiences. Effective scaffolding in this activity relies on two key components: structure and modeling. Structure refers to creating clear guidelines that define how participants should engage with the LLM to maximize learning. A fundamental aspect of this structure is encouraging interaction through thoughtful questioning, which promotes deeper engagement with the content. Additionally, incorporating reflective activities is essential, as it allows participants to critically analyze their interactions, assess their learning, and refine their approach. By fostering a structured environment that prioritizes inquiry and reflection, educators can enhance the effectiveness of LLM-based role-playing activities, ensuring they serve as meaningful tools for developing pedagogical content knowledge. By using PCK-focused role-playing approaches with teachers and teacher educators and highlighting the three practices—structure, model, and reflect—while sharing this method, we emphasize that it is possible to determine the advantages and drawbacks of this strategy and to create guidelines for the most effective ways to involve teachers.</w:t>
      </w:r>
    </w:p>
    <w:p w:rsidR="00000000" w:rsidDel="00000000" w:rsidP="00000000" w:rsidRDefault="00000000" w:rsidRPr="00000000" w14:paraId="0000002F">
      <w:pPr>
        <w:spacing w:after="240" w:before="24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Implications</w:t>
      </w:r>
    </w:p>
    <w:p w:rsidR="00000000" w:rsidDel="00000000" w:rsidP="00000000" w:rsidRDefault="00000000" w:rsidRPr="00000000" w14:paraId="00000030">
      <w:pPr>
        <w:spacing w:after="240" w:before="240"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we move to the second stage of the EDR study we utilize the design principles for developing and conducting the workshops. Additionally as teacher educators we emphasize critical pedagogical reflections and recognizing assumptions are important as we encourage the LLM-based role play for developing PCK. Critical pedagogical reflection: The interactive nature of role-play allows teachers to engage in critical analysis of AI-generated responses. When an LLM acts as a struggling student, teachers can reflect on whether the AI-generated misconceptions align with real-world student misunderstandings or if they reflect stereotypical or overly simplistic errors. By interrogating AI responses, teachers can sharpen their ability to diagnose and respond to misconceptions, strengthening their pedagogical reasoning. Support adaptive teaching strategies by allowing teachers to experiment with multiple ways of responding to different learner needs. Recognize and question assumptions and biases: If an LLM simulates a student with misconceptions, those misconceptions may reflect biased or normative assumptions. For example, AI might generate explanations that favor dominant cultural perspectives while neglecting alternative ways of knowing (e.g., the AI student tended to use cake or pizza to illustrate fractions, examples that were not necessarily culturally responsive). Teachers engaging with LLM-generated student personas must be trained to recognize and question these biases rather than accepting them at face value.</w:t>
      </w:r>
    </w:p>
    <w:p w:rsidR="00000000" w:rsidDel="00000000" w:rsidP="00000000" w:rsidRDefault="00000000" w:rsidRPr="00000000" w14:paraId="00000031">
      <w:pPr>
        <w:spacing w:after="20" w:before="20" w:line="259.2000000000000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2">
      <w:pPr>
        <w:spacing w:after="0" w:line="240" w:lineRule="auto"/>
        <w:ind w:left="0" w:firstLine="0"/>
        <w:rPr>
          <w:rFonts w:ascii="Times New Roman" w:cs="Times New Roman" w:eastAsia="Times New Roman" w:hAnsi="Times New Roman"/>
          <w:color w:val="222222"/>
          <w:sz w:val="18"/>
          <w:szCs w:val="18"/>
          <w:highlight w:val="white"/>
        </w:rPr>
      </w:pPr>
      <w:r w:rsidDel="00000000" w:rsidR="00000000" w:rsidRPr="00000000">
        <w:rPr>
          <w:rFonts w:ascii="Times New Roman" w:cs="Times New Roman" w:eastAsia="Times New Roman" w:hAnsi="Times New Roman"/>
          <w:color w:val="222222"/>
          <w:sz w:val="18"/>
          <w:szCs w:val="18"/>
          <w:highlight w:val="white"/>
          <w:rtl w:val="0"/>
        </w:rPr>
        <w:t xml:space="preserve">Baidoo-Anu, D., &amp; Ansah, L. O. (2023). Education in the era of generative artificial intelligence (AI): Understanding the</w:t>
        <w:tab/>
      </w:r>
    </w:p>
    <w:p w:rsidR="00000000" w:rsidDel="00000000" w:rsidP="00000000" w:rsidRDefault="00000000" w:rsidRPr="00000000" w14:paraId="00000033">
      <w:pPr>
        <w:spacing w:after="0" w:line="240" w:lineRule="auto"/>
        <w:ind w:left="0" w:firstLine="720"/>
        <w:rPr>
          <w:rFonts w:ascii="Times New Roman" w:cs="Times New Roman" w:eastAsia="Times New Roman" w:hAnsi="Times New Roman"/>
          <w:color w:val="222222"/>
          <w:sz w:val="18"/>
          <w:szCs w:val="18"/>
          <w:highlight w:val="white"/>
        </w:rPr>
      </w:pPr>
      <w:r w:rsidDel="00000000" w:rsidR="00000000" w:rsidRPr="00000000">
        <w:rPr>
          <w:rFonts w:ascii="Times New Roman" w:cs="Times New Roman" w:eastAsia="Times New Roman" w:hAnsi="Times New Roman"/>
          <w:color w:val="222222"/>
          <w:sz w:val="18"/>
          <w:szCs w:val="18"/>
          <w:highlight w:val="white"/>
          <w:rtl w:val="0"/>
        </w:rPr>
        <w:t xml:space="preserve">potential benefits of ChatGPT in promoting teaching and learning. </w:t>
      </w:r>
      <w:r w:rsidDel="00000000" w:rsidR="00000000" w:rsidRPr="00000000">
        <w:rPr>
          <w:rFonts w:ascii="Times New Roman" w:cs="Times New Roman" w:eastAsia="Times New Roman" w:hAnsi="Times New Roman"/>
          <w:i w:val="1"/>
          <w:color w:val="222222"/>
          <w:sz w:val="18"/>
          <w:szCs w:val="18"/>
          <w:highlight w:val="white"/>
          <w:rtl w:val="0"/>
        </w:rPr>
        <w:t xml:space="preserve">Journal of AI</w:t>
      </w:r>
      <w:r w:rsidDel="00000000" w:rsidR="00000000" w:rsidRPr="00000000">
        <w:rPr>
          <w:rFonts w:ascii="Times New Roman" w:cs="Times New Roman" w:eastAsia="Times New Roman" w:hAnsi="Times New Roman"/>
          <w:color w:val="222222"/>
          <w:sz w:val="18"/>
          <w:szCs w:val="18"/>
          <w:highlight w:val="white"/>
          <w:rtl w:val="0"/>
        </w:rPr>
        <w:t xml:space="preserve">, </w:t>
      </w:r>
      <w:r w:rsidDel="00000000" w:rsidR="00000000" w:rsidRPr="00000000">
        <w:rPr>
          <w:rFonts w:ascii="Times New Roman" w:cs="Times New Roman" w:eastAsia="Times New Roman" w:hAnsi="Times New Roman"/>
          <w:i w:val="1"/>
          <w:color w:val="222222"/>
          <w:sz w:val="18"/>
          <w:szCs w:val="18"/>
          <w:highlight w:val="white"/>
          <w:rtl w:val="0"/>
        </w:rPr>
        <w:t xml:space="preserve">7</w:t>
      </w:r>
      <w:r w:rsidDel="00000000" w:rsidR="00000000" w:rsidRPr="00000000">
        <w:rPr>
          <w:rFonts w:ascii="Times New Roman" w:cs="Times New Roman" w:eastAsia="Times New Roman" w:hAnsi="Times New Roman"/>
          <w:color w:val="222222"/>
          <w:sz w:val="18"/>
          <w:szCs w:val="18"/>
          <w:highlight w:val="white"/>
          <w:rtl w:val="0"/>
        </w:rPr>
        <w:t xml:space="preserve">(1), 52-62.</w:t>
      </w:r>
    </w:p>
    <w:p w:rsidR="00000000" w:rsidDel="00000000" w:rsidP="00000000" w:rsidRDefault="00000000" w:rsidRPr="00000000" w14:paraId="00000034">
      <w:pPr>
        <w:spacing w:after="0" w:line="24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Bakker, A. (2018). </w:t>
      </w:r>
      <w:r w:rsidDel="00000000" w:rsidR="00000000" w:rsidRPr="00000000">
        <w:rPr>
          <w:rFonts w:ascii="Times New Roman" w:cs="Times New Roman" w:eastAsia="Times New Roman" w:hAnsi="Times New Roman"/>
          <w:i w:val="1"/>
          <w:sz w:val="18"/>
          <w:szCs w:val="18"/>
          <w:highlight w:val="white"/>
          <w:rtl w:val="0"/>
        </w:rPr>
        <w:t xml:space="preserve">Design research in education: A practical guide for early career researchers</w:t>
      </w:r>
      <w:r w:rsidDel="00000000" w:rsidR="00000000" w:rsidRPr="00000000">
        <w:rPr>
          <w:rFonts w:ascii="Times New Roman" w:cs="Times New Roman" w:eastAsia="Times New Roman" w:hAnsi="Times New Roman"/>
          <w:sz w:val="18"/>
          <w:szCs w:val="18"/>
          <w:highlight w:val="white"/>
          <w:rtl w:val="0"/>
        </w:rPr>
        <w:t xml:space="preserve">. Routledge.</w:t>
      </w:r>
    </w:p>
    <w:p w:rsidR="00000000" w:rsidDel="00000000" w:rsidP="00000000" w:rsidRDefault="00000000" w:rsidRPr="00000000" w14:paraId="00000035">
      <w:pPr>
        <w:spacing w:after="0" w:line="24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Barab, S., &amp; Squire, K. (2004). Design-based research: Putting a stake in the ground. </w:t>
      </w:r>
      <w:r w:rsidDel="00000000" w:rsidR="00000000" w:rsidRPr="00000000">
        <w:rPr>
          <w:rFonts w:ascii="Times New Roman" w:cs="Times New Roman" w:eastAsia="Times New Roman" w:hAnsi="Times New Roman"/>
          <w:i w:val="1"/>
          <w:sz w:val="18"/>
          <w:szCs w:val="18"/>
          <w:highlight w:val="white"/>
          <w:rtl w:val="0"/>
        </w:rPr>
        <w:t xml:space="preserve">The Journal of the Learning Sciences</w:t>
      </w:r>
      <w:r w:rsidDel="00000000" w:rsidR="00000000" w:rsidRPr="00000000">
        <w:rPr>
          <w:rFonts w:ascii="Times New Roman" w:cs="Times New Roman" w:eastAsia="Times New Roman" w:hAnsi="Times New Roman"/>
          <w:sz w:val="18"/>
          <w:szCs w:val="18"/>
          <w:highlight w:val="white"/>
          <w:rtl w:val="0"/>
        </w:rPr>
        <w:t xml:space="preserve">, </w:t>
      </w:r>
    </w:p>
    <w:p w:rsidR="00000000" w:rsidDel="00000000" w:rsidP="00000000" w:rsidRDefault="00000000" w:rsidRPr="00000000" w14:paraId="00000036">
      <w:pPr>
        <w:spacing w:after="0" w:line="240" w:lineRule="auto"/>
        <w:ind w:firstLine="72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i w:val="1"/>
          <w:sz w:val="18"/>
          <w:szCs w:val="18"/>
          <w:highlight w:val="white"/>
          <w:rtl w:val="0"/>
        </w:rPr>
        <w:t xml:space="preserve">13</w:t>
      </w:r>
      <w:r w:rsidDel="00000000" w:rsidR="00000000" w:rsidRPr="00000000">
        <w:rPr>
          <w:rFonts w:ascii="Times New Roman" w:cs="Times New Roman" w:eastAsia="Times New Roman" w:hAnsi="Times New Roman"/>
          <w:sz w:val="18"/>
          <w:szCs w:val="18"/>
          <w:highlight w:val="white"/>
          <w:rtl w:val="0"/>
        </w:rPr>
        <w:t xml:space="preserve">(1), 1–14. https://doi.org/10.1207/s15327809jls1301_1</w:t>
      </w:r>
    </w:p>
    <w:p w:rsidR="00000000" w:rsidDel="00000000" w:rsidP="00000000" w:rsidRDefault="00000000" w:rsidRPr="00000000" w14:paraId="00000037">
      <w:pPr>
        <w:spacing w:after="0" w:line="240" w:lineRule="auto"/>
        <w:ind w:left="-8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highlight w:val="white"/>
          <w:rtl w:val="0"/>
        </w:rPr>
        <w:t xml:space="preserve"> </w:t>
      </w:r>
      <w:r w:rsidDel="00000000" w:rsidR="00000000" w:rsidRPr="00000000">
        <w:rPr>
          <w:rFonts w:ascii="Times New Roman" w:cs="Times New Roman" w:eastAsia="Times New Roman" w:hAnsi="Times New Roman"/>
          <w:sz w:val="18"/>
          <w:szCs w:val="18"/>
          <w:rtl w:val="0"/>
        </w:rPr>
        <w:t xml:space="preserve">Boiko, D. A., MacKnight, R., &amp; Gomes, G. (2023). Emergent autonomous scientific research capabilities of large language </w:t>
      </w:r>
    </w:p>
    <w:p w:rsidR="00000000" w:rsidDel="00000000" w:rsidP="00000000" w:rsidRDefault="00000000" w:rsidRPr="00000000" w14:paraId="00000038">
      <w:pPr>
        <w:spacing w:after="0" w:line="240" w:lineRule="auto"/>
        <w:ind w:left="640" w:firstLine="80"/>
        <w:rPr>
          <w:rFonts w:ascii="Times New Roman" w:cs="Times New Roman" w:eastAsia="Times New Roman" w:hAnsi="Times New Roman"/>
          <w:color w:val="1155cc"/>
          <w:sz w:val="18"/>
          <w:szCs w:val="18"/>
          <w:u w:val="single"/>
        </w:rPr>
      </w:pPr>
      <w:r w:rsidDel="00000000" w:rsidR="00000000" w:rsidRPr="00000000">
        <w:rPr>
          <w:rFonts w:ascii="Times New Roman" w:cs="Times New Roman" w:eastAsia="Times New Roman" w:hAnsi="Times New Roman"/>
          <w:sz w:val="18"/>
          <w:szCs w:val="18"/>
          <w:rtl w:val="0"/>
        </w:rPr>
        <w:t xml:space="preserve">models. </w:t>
      </w:r>
      <w:r w:rsidDel="00000000" w:rsidR="00000000" w:rsidRPr="00000000">
        <w:rPr>
          <w:rFonts w:ascii="Times New Roman" w:cs="Times New Roman" w:eastAsia="Times New Roman" w:hAnsi="Times New Roman"/>
          <w:i w:val="1"/>
          <w:sz w:val="18"/>
          <w:szCs w:val="18"/>
          <w:rtl w:val="0"/>
        </w:rPr>
        <w:t xml:space="preserve">arXiv preprint arXiv:2304.05332</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color w:val="1f1f1f"/>
          <w:sz w:val="18"/>
          <w:szCs w:val="18"/>
          <w:highlight w:val="white"/>
        </w:rPr>
      </w:pPr>
      <w:r w:rsidDel="00000000" w:rsidR="00000000" w:rsidRPr="00000000">
        <w:rPr>
          <w:rFonts w:ascii="Times New Roman" w:cs="Times New Roman" w:eastAsia="Times New Roman" w:hAnsi="Times New Roman"/>
          <w:color w:val="1f1f1f"/>
          <w:sz w:val="18"/>
          <w:szCs w:val="18"/>
          <w:highlight w:val="white"/>
          <w:rtl w:val="0"/>
        </w:rPr>
        <w:t xml:space="preserve">Boud, D., Keogh, R., &amp; Walker, D. (Eds.). (2000). Reflection: Turning experience into learning. New York, NY: Nichols.</w:t>
      </w:r>
    </w:p>
    <w:p w:rsidR="00000000" w:rsidDel="00000000" w:rsidP="00000000" w:rsidRDefault="00000000" w:rsidRPr="00000000" w14:paraId="0000003A">
      <w:pPr>
        <w:spacing w:line="240" w:lineRule="auto"/>
        <w:rPr>
          <w:rFonts w:ascii="Times New Roman" w:cs="Times New Roman" w:eastAsia="Times New Roman" w:hAnsi="Times New Roman"/>
          <w:color w:val="1f1f1f"/>
          <w:sz w:val="18"/>
          <w:szCs w:val="18"/>
        </w:rPr>
      </w:pPr>
      <w:r w:rsidDel="00000000" w:rsidR="00000000" w:rsidRPr="00000000">
        <w:rPr>
          <w:rFonts w:ascii="Times New Roman" w:cs="Times New Roman" w:eastAsia="Times New Roman" w:hAnsi="Times New Roman"/>
          <w:color w:val="1f1f1f"/>
          <w:sz w:val="18"/>
          <w:szCs w:val="18"/>
          <w:rtl w:val="0"/>
        </w:rPr>
        <w:t xml:space="preserve">Bransford, J., Brown, A., &amp; Cocking, R. (2000). How people learn: Brain, mind, and experience &amp; school. Washington, DC: </w:t>
      </w:r>
    </w:p>
    <w:p w:rsidR="00000000" w:rsidDel="00000000" w:rsidP="00000000" w:rsidRDefault="00000000" w:rsidRPr="00000000" w14:paraId="0000003B">
      <w:pPr>
        <w:spacing w:line="240" w:lineRule="auto"/>
        <w:ind w:firstLine="720"/>
        <w:rPr>
          <w:rFonts w:ascii="Times New Roman" w:cs="Times New Roman" w:eastAsia="Times New Roman" w:hAnsi="Times New Roman"/>
          <w:color w:val="1f1f1f"/>
          <w:sz w:val="18"/>
          <w:szCs w:val="18"/>
        </w:rPr>
      </w:pPr>
      <w:r w:rsidDel="00000000" w:rsidR="00000000" w:rsidRPr="00000000">
        <w:rPr>
          <w:rFonts w:ascii="Times New Roman" w:cs="Times New Roman" w:eastAsia="Times New Roman" w:hAnsi="Times New Roman"/>
          <w:color w:val="1f1f1f"/>
          <w:sz w:val="18"/>
          <w:szCs w:val="18"/>
          <w:rtl w:val="0"/>
        </w:rPr>
        <w:t xml:space="preserve">National Academy Press.</w:t>
      </w:r>
    </w:p>
    <w:p w:rsidR="00000000" w:rsidDel="00000000" w:rsidP="00000000" w:rsidRDefault="00000000" w:rsidRPr="00000000" w14:paraId="0000003C">
      <w:pPr>
        <w:spacing w:after="0" w:line="240" w:lineRule="auto"/>
        <w:ind w:left="-8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 Brown, A. L. (1992). Design experiments: Theoretical and methodological challenges in creating complex interventions in </w:t>
      </w:r>
    </w:p>
    <w:p w:rsidR="00000000" w:rsidDel="00000000" w:rsidP="00000000" w:rsidRDefault="00000000" w:rsidRPr="00000000" w14:paraId="0000003D">
      <w:pPr>
        <w:spacing w:after="0" w:line="240" w:lineRule="auto"/>
        <w:ind w:left="640" w:firstLine="8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classroom settings. </w:t>
      </w:r>
      <w:r w:rsidDel="00000000" w:rsidR="00000000" w:rsidRPr="00000000">
        <w:rPr>
          <w:rFonts w:ascii="Times New Roman" w:cs="Times New Roman" w:eastAsia="Times New Roman" w:hAnsi="Times New Roman"/>
          <w:i w:val="1"/>
          <w:sz w:val="18"/>
          <w:szCs w:val="18"/>
          <w:highlight w:val="white"/>
          <w:rtl w:val="0"/>
        </w:rPr>
        <w:t xml:space="preserve">Journal of the Learning Sciences</w:t>
      </w:r>
      <w:r w:rsidDel="00000000" w:rsidR="00000000" w:rsidRPr="00000000">
        <w:rPr>
          <w:rFonts w:ascii="Times New Roman" w:cs="Times New Roman" w:eastAsia="Times New Roman" w:hAnsi="Times New Roman"/>
          <w:sz w:val="18"/>
          <w:szCs w:val="18"/>
          <w:highlight w:val="white"/>
          <w:rtl w:val="0"/>
        </w:rPr>
        <w:t xml:space="preserve">, </w:t>
      </w:r>
      <w:r w:rsidDel="00000000" w:rsidR="00000000" w:rsidRPr="00000000">
        <w:rPr>
          <w:rFonts w:ascii="Times New Roman" w:cs="Times New Roman" w:eastAsia="Times New Roman" w:hAnsi="Times New Roman"/>
          <w:i w:val="1"/>
          <w:sz w:val="18"/>
          <w:szCs w:val="18"/>
          <w:highlight w:val="white"/>
          <w:rtl w:val="0"/>
        </w:rPr>
        <w:t xml:space="preserve">2</w:t>
      </w:r>
      <w:r w:rsidDel="00000000" w:rsidR="00000000" w:rsidRPr="00000000">
        <w:rPr>
          <w:rFonts w:ascii="Times New Roman" w:cs="Times New Roman" w:eastAsia="Times New Roman" w:hAnsi="Times New Roman"/>
          <w:sz w:val="18"/>
          <w:szCs w:val="18"/>
          <w:highlight w:val="white"/>
          <w:rtl w:val="0"/>
        </w:rPr>
        <w:t xml:space="preserve">(2), 141–178. https://doi.org/10.1207/s15327809jls0202_2</w:t>
      </w:r>
    </w:p>
    <w:p w:rsidR="00000000" w:rsidDel="00000000" w:rsidP="00000000" w:rsidRDefault="00000000" w:rsidRPr="00000000" w14:paraId="0000003E">
      <w:pPr>
        <w:pBdr>
          <w:top w:color="e3e3e3" w:space="0" w:sz="0" w:val="none"/>
          <w:left w:color="e3e3e3" w:space="0" w:sz="0" w:val="none"/>
          <w:bottom w:color="e3e3e3" w:space="0" w:sz="0" w:val="none"/>
          <w:right w:color="e3e3e3" w:space="0" w:sz="0" w:val="none"/>
          <w:between w:color="e3e3e3" w:space="0" w:sz="0" w:val="none"/>
        </w:pBdr>
        <w:shd w:fill="ffffff" w:val="clear"/>
        <w:spacing w:after="0" w:line="24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Bruner, J., &amp; Sherwoord, V. (1976). Peekaboo and the learning of rule structures. In J. Bruner, A. Jolly, &amp; K. Sylva </w:t>
      </w:r>
    </w:p>
    <w:p w:rsidR="00000000" w:rsidDel="00000000" w:rsidP="00000000" w:rsidRDefault="00000000" w:rsidRPr="00000000" w14:paraId="0000003F">
      <w:pPr>
        <w:pBdr>
          <w:top w:color="e3e3e3" w:space="0" w:sz="0" w:val="none"/>
          <w:left w:color="e3e3e3" w:space="0" w:sz="0" w:val="none"/>
          <w:bottom w:color="e3e3e3" w:space="0" w:sz="0" w:val="none"/>
          <w:right w:color="e3e3e3" w:space="0" w:sz="0" w:val="none"/>
          <w:between w:color="e3e3e3" w:space="0" w:sz="0" w:val="none"/>
        </w:pBdr>
        <w:shd w:fill="ffffff" w:val="clear"/>
        <w:spacing w:after="0" w:line="240" w:lineRule="auto"/>
        <w:ind w:left="72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(Eds.), Play: Its role in development and evolution (pp. 277–87). Harmondsworth, England: Penguin Books.</w:t>
      </w:r>
    </w:p>
    <w:p w:rsidR="00000000" w:rsidDel="00000000" w:rsidP="00000000" w:rsidRDefault="00000000" w:rsidRPr="00000000" w14:paraId="00000040">
      <w:pPr>
        <w:pBdr>
          <w:top w:color="e3e3e3" w:space="0" w:sz="0" w:val="none"/>
          <w:left w:color="e3e3e3" w:space="0" w:sz="0" w:val="none"/>
          <w:bottom w:color="e3e3e3" w:space="0" w:sz="0" w:val="none"/>
          <w:right w:color="e3e3e3" w:space="0" w:sz="0" w:val="none"/>
          <w:between w:color="e3e3e3" w:space="0" w:sz="0" w:val="none"/>
        </w:pBdr>
        <w:shd w:fill="ffffff" w:val="clear"/>
        <w:spacing w:after="0" w:line="24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Chan, C. K. Y., &amp; Hu, W. (2023). Students’ voices on generative AI: Perceptions, benefits, and challenges in higher education. In </w:t>
      </w:r>
    </w:p>
    <w:p w:rsidR="00000000" w:rsidDel="00000000" w:rsidP="00000000" w:rsidRDefault="00000000" w:rsidRPr="00000000" w14:paraId="00000041">
      <w:pPr>
        <w:pBdr>
          <w:top w:color="e3e3e3" w:space="0" w:sz="0" w:val="none"/>
          <w:left w:color="e3e3e3" w:space="0" w:sz="0" w:val="none"/>
          <w:bottom w:color="e3e3e3" w:space="0" w:sz="0" w:val="none"/>
          <w:right w:color="e3e3e3" w:space="0" w:sz="0" w:val="none"/>
          <w:between w:color="e3e3e3" w:space="0" w:sz="0" w:val="none"/>
        </w:pBdr>
        <w:shd w:fill="ffffff" w:val="clear"/>
        <w:spacing w:after="0" w:line="240" w:lineRule="auto"/>
        <w:ind w:firstLine="72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arXiv [cs.CY]. arXiv. http://arxiv.org/abs/2305.00290</w:t>
      </w:r>
    </w:p>
    <w:p w:rsidR="00000000" w:rsidDel="00000000" w:rsidP="00000000" w:rsidRDefault="00000000" w:rsidRPr="00000000" w14:paraId="00000042">
      <w:pPr>
        <w:spacing w:line="240" w:lineRule="auto"/>
        <w:rPr>
          <w:rFonts w:ascii="Times New Roman" w:cs="Times New Roman" w:eastAsia="Times New Roman" w:hAnsi="Times New Roman"/>
          <w:i w:val="1"/>
          <w:color w:val="1f1f1f"/>
          <w:sz w:val="18"/>
          <w:szCs w:val="18"/>
        </w:rPr>
      </w:pPr>
      <w:r w:rsidDel="00000000" w:rsidR="00000000" w:rsidRPr="00000000">
        <w:rPr>
          <w:rFonts w:ascii="Times New Roman" w:cs="Times New Roman" w:eastAsia="Times New Roman" w:hAnsi="Times New Roman"/>
          <w:color w:val="1f1f1f"/>
          <w:sz w:val="18"/>
          <w:szCs w:val="18"/>
          <w:rtl w:val="0"/>
        </w:rPr>
        <w:t xml:space="preserve">Chang, K., Chen, I., &amp; Sung, Y. (2002). The effect of concept mapping to enhance text comprehension and summarization. </w:t>
      </w:r>
      <w:r w:rsidDel="00000000" w:rsidR="00000000" w:rsidRPr="00000000">
        <w:rPr>
          <w:rFonts w:ascii="Times New Roman" w:cs="Times New Roman" w:eastAsia="Times New Roman" w:hAnsi="Times New Roman"/>
          <w:i w:val="1"/>
          <w:color w:val="1f1f1f"/>
          <w:sz w:val="18"/>
          <w:szCs w:val="18"/>
          <w:rtl w:val="0"/>
        </w:rPr>
        <w:t xml:space="preserve">The </w:t>
      </w:r>
    </w:p>
    <w:p w:rsidR="00000000" w:rsidDel="00000000" w:rsidP="00000000" w:rsidRDefault="00000000" w:rsidRPr="00000000" w14:paraId="00000043">
      <w:pPr>
        <w:spacing w:line="240" w:lineRule="auto"/>
        <w:ind w:firstLine="720"/>
        <w:rPr>
          <w:rFonts w:ascii="Times New Roman" w:cs="Times New Roman" w:eastAsia="Times New Roman" w:hAnsi="Times New Roman"/>
          <w:color w:val="1f1f1f"/>
          <w:sz w:val="18"/>
          <w:szCs w:val="18"/>
        </w:rPr>
      </w:pPr>
      <w:r w:rsidDel="00000000" w:rsidR="00000000" w:rsidRPr="00000000">
        <w:rPr>
          <w:rFonts w:ascii="Times New Roman" w:cs="Times New Roman" w:eastAsia="Times New Roman" w:hAnsi="Times New Roman"/>
          <w:i w:val="1"/>
          <w:color w:val="1f1f1f"/>
          <w:sz w:val="18"/>
          <w:szCs w:val="18"/>
          <w:rtl w:val="0"/>
        </w:rPr>
        <w:t xml:space="preserve">Journal of Experimental Education 71</w:t>
      </w:r>
      <w:r w:rsidDel="00000000" w:rsidR="00000000" w:rsidRPr="00000000">
        <w:rPr>
          <w:rFonts w:ascii="Times New Roman" w:cs="Times New Roman" w:eastAsia="Times New Roman" w:hAnsi="Times New Roman"/>
          <w:color w:val="1f1f1f"/>
          <w:sz w:val="18"/>
          <w:szCs w:val="18"/>
          <w:rtl w:val="0"/>
        </w:rPr>
        <w:t xml:space="preserve">(1), 5-23.</w:t>
      </w:r>
    </w:p>
    <w:p w:rsidR="00000000" w:rsidDel="00000000" w:rsidP="00000000" w:rsidRDefault="00000000" w:rsidRPr="00000000" w14:paraId="00000044">
      <w:pPr>
        <w:spacing w:line="240" w:lineRule="auto"/>
        <w:rPr>
          <w:rFonts w:ascii="Times New Roman" w:cs="Times New Roman" w:eastAsia="Times New Roman" w:hAnsi="Times New Roman"/>
          <w:color w:val="222222"/>
          <w:sz w:val="18"/>
          <w:szCs w:val="18"/>
          <w:highlight w:val="white"/>
        </w:rPr>
      </w:pPr>
      <w:r w:rsidDel="00000000" w:rsidR="00000000" w:rsidRPr="00000000">
        <w:rPr>
          <w:rFonts w:ascii="Times New Roman" w:cs="Times New Roman" w:eastAsia="Times New Roman" w:hAnsi="Times New Roman"/>
          <w:color w:val="222222"/>
          <w:sz w:val="18"/>
          <w:szCs w:val="18"/>
          <w:highlight w:val="white"/>
          <w:rtl w:val="0"/>
        </w:rPr>
        <w:t xml:space="preserve">Chatterjee, S. &amp; Warr, M. (2024). Connecting theory and practice: Large language models as tools for PCK development in </w:t>
      </w:r>
    </w:p>
    <w:p w:rsidR="00000000" w:rsidDel="00000000" w:rsidP="00000000" w:rsidRDefault="00000000" w:rsidRPr="00000000" w14:paraId="00000045">
      <w:pPr>
        <w:spacing w:line="240" w:lineRule="auto"/>
        <w:ind w:left="720" w:firstLine="0"/>
        <w:rPr>
          <w:rFonts w:ascii="Times New Roman" w:cs="Times New Roman" w:eastAsia="Times New Roman" w:hAnsi="Times New Roman"/>
          <w:color w:val="222222"/>
          <w:sz w:val="18"/>
          <w:szCs w:val="18"/>
          <w:highlight w:val="white"/>
        </w:rPr>
      </w:pPr>
      <w:r w:rsidDel="00000000" w:rsidR="00000000" w:rsidRPr="00000000">
        <w:rPr>
          <w:rFonts w:ascii="Times New Roman" w:cs="Times New Roman" w:eastAsia="Times New Roman" w:hAnsi="Times New Roman"/>
          <w:color w:val="222222"/>
          <w:sz w:val="18"/>
          <w:szCs w:val="18"/>
          <w:highlight w:val="white"/>
          <w:rtl w:val="0"/>
        </w:rPr>
        <w:t xml:space="preserve">teacher education. In Blankenship, R. J., &amp; Cherner, T. (Eds). </w:t>
      </w:r>
      <w:r w:rsidDel="00000000" w:rsidR="00000000" w:rsidRPr="00000000">
        <w:rPr>
          <w:rFonts w:ascii="Times New Roman" w:cs="Times New Roman" w:eastAsia="Times New Roman" w:hAnsi="Times New Roman"/>
          <w:i w:val="1"/>
          <w:color w:val="222222"/>
          <w:sz w:val="18"/>
          <w:szCs w:val="18"/>
          <w:highlight w:val="white"/>
          <w:rtl w:val="0"/>
        </w:rPr>
        <w:t xml:space="preserve">Research Highlights in Technology and Teacher Education Special Edition </w:t>
      </w:r>
      <w:r w:rsidDel="00000000" w:rsidR="00000000" w:rsidRPr="00000000">
        <w:rPr>
          <w:rFonts w:ascii="Times New Roman" w:cs="Times New Roman" w:eastAsia="Times New Roman" w:hAnsi="Times New Roman"/>
          <w:color w:val="222222"/>
          <w:sz w:val="18"/>
          <w:szCs w:val="18"/>
          <w:highlight w:val="white"/>
          <w:rtl w:val="0"/>
        </w:rPr>
        <w:t xml:space="preserve">2024 35th Anniversary Edition, Volume 2. Association for the Advancement of Computing in Education (AACE). Retrieved September 10, 2024 from </w:t>
        <w:tab/>
      </w:r>
      <w:hyperlink r:id="rId9">
        <w:r w:rsidDel="00000000" w:rsidR="00000000" w:rsidRPr="00000000">
          <w:rPr>
            <w:rFonts w:ascii="Times New Roman" w:cs="Times New Roman" w:eastAsia="Times New Roman" w:hAnsi="Times New Roman"/>
            <w:color w:val="0000ff"/>
            <w:sz w:val="18"/>
            <w:szCs w:val="18"/>
            <w:highlight w:val="white"/>
            <w:rtl w:val="0"/>
          </w:rPr>
          <w:t xml:space="preserve">https://www.learntechlib.org/primary/p/224717/</w:t>
        </w:r>
      </w:hyperlink>
      <w:r w:rsidDel="00000000" w:rsidR="00000000" w:rsidRPr="00000000">
        <w:rPr>
          <w:rFonts w:ascii="Times New Roman" w:cs="Times New Roman" w:eastAsia="Times New Roman" w:hAnsi="Times New Roman"/>
          <w:color w:val="222222"/>
          <w:sz w:val="18"/>
          <w:szCs w:val="18"/>
          <w:highlight w:val="white"/>
          <w:rtl w:val="0"/>
        </w:rPr>
        <w:t xml:space="preserve">.</w:t>
      </w:r>
    </w:p>
    <w:p w:rsidR="00000000" w:rsidDel="00000000" w:rsidP="00000000" w:rsidRDefault="00000000" w:rsidRPr="00000000" w14:paraId="00000046">
      <w:pPr>
        <w:spacing w:line="240" w:lineRule="auto"/>
        <w:rPr>
          <w:rFonts w:ascii="Times New Roman" w:cs="Times New Roman" w:eastAsia="Times New Roman" w:hAnsi="Times New Roman"/>
          <w:color w:val="1f1f1f"/>
          <w:sz w:val="18"/>
          <w:szCs w:val="18"/>
        </w:rPr>
      </w:pPr>
      <w:r w:rsidDel="00000000" w:rsidR="00000000" w:rsidRPr="00000000">
        <w:rPr>
          <w:rFonts w:ascii="Times New Roman" w:cs="Times New Roman" w:eastAsia="Times New Roman" w:hAnsi="Times New Roman"/>
          <w:color w:val="1f1f1f"/>
          <w:sz w:val="18"/>
          <w:szCs w:val="18"/>
          <w:rtl w:val="0"/>
        </w:rPr>
        <w:t xml:space="preserve">Dahlberg, K., Drew, N., &amp; Nyström, M. (2002). Reflective lifeworld research. Lund: Studentlitteratur</w:t>
      </w:r>
    </w:p>
    <w:p w:rsidR="00000000" w:rsidDel="00000000" w:rsidP="00000000" w:rsidRDefault="00000000" w:rsidRPr="00000000" w14:paraId="00000047">
      <w:pPr>
        <w:pBdr>
          <w:top w:color="e3e3e3" w:space="0" w:sz="0" w:val="none"/>
          <w:left w:color="e3e3e3" w:space="0" w:sz="0" w:val="none"/>
          <w:bottom w:color="e3e3e3" w:space="0" w:sz="0" w:val="none"/>
          <w:right w:color="e3e3e3" w:space="0" w:sz="0" w:val="none"/>
          <w:between w:color="e3e3e3" w:space="0" w:sz="0" w:val="none"/>
        </w:pBdr>
        <w:shd w:fill="ffffff" w:val="clear"/>
        <w:spacing w:after="0" w:line="24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Dewey, J. (1933). </w:t>
      </w:r>
      <w:r w:rsidDel="00000000" w:rsidR="00000000" w:rsidRPr="00000000">
        <w:rPr>
          <w:rFonts w:ascii="Times New Roman" w:cs="Times New Roman" w:eastAsia="Times New Roman" w:hAnsi="Times New Roman"/>
          <w:i w:val="1"/>
          <w:sz w:val="18"/>
          <w:szCs w:val="18"/>
          <w:highlight w:val="white"/>
          <w:rtl w:val="0"/>
        </w:rPr>
        <w:t xml:space="preserve">How we think</w:t>
      </w:r>
      <w:r w:rsidDel="00000000" w:rsidR="00000000" w:rsidRPr="00000000">
        <w:rPr>
          <w:rFonts w:ascii="Times New Roman" w:cs="Times New Roman" w:eastAsia="Times New Roman" w:hAnsi="Times New Roman"/>
          <w:sz w:val="18"/>
          <w:szCs w:val="18"/>
          <w:highlight w:val="white"/>
          <w:rtl w:val="0"/>
        </w:rPr>
        <w:t xml:space="preserve">. Prometheus Books.</w:t>
      </w:r>
    </w:p>
    <w:p w:rsidR="00000000" w:rsidDel="00000000" w:rsidP="00000000" w:rsidRDefault="00000000" w:rsidRPr="00000000" w14:paraId="00000048">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Gao, C., Lan, X., Lu, Z., Mao, J., Piao, J., Wang, H., ... &amp; Li, Y. (2023). S3: Social-network simulation system with large </w:t>
      </w:r>
    </w:p>
    <w:p w:rsidR="00000000" w:rsidDel="00000000" w:rsidP="00000000" w:rsidRDefault="00000000" w:rsidRPr="00000000" w14:paraId="00000049">
      <w:pPr>
        <w:spacing w:line="240" w:lineRule="auto"/>
        <w:ind w:firstLine="720"/>
        <w:rPr>
          <w:rFonts w:ascii="Times New Roman" w:cs="Times New Roman" w:eastAsia="Times New Roman" w:hAnsi="Times New Roman"/>
          <w:color w:val="1155cc"/>
          <w:sz w:val="18"/>
          <w:szCs w:val="18"/>
          <w:u w:val="single"/>
        </w:rPr>
      </w:pPr>
      <w:r w:rsidDel="00000000" w:rsidR="00000000" w:rsidRPr="00000000">
        <w:rPr>
          <w:rFonts w:ascii="Times New Roman" w:cs="Times New Roman" w:eastAsia="Times New Roman" w:hAnsi="Times New Roman"/>
          <w:sz w:val="18"/>
          <w:szCs w:val="18"/>
          <w:rtl w:val="0"/>
        </w:rPr>
        <w:t xml:space="preserve">language model-empowered agents. </w:t>
      </w:r>
      <w:r w:rsidDel="00000000" w:rsidR="00000000" w:rsidRPr="00000000">
        <w:rPr>
          <w:rFonts w:ascii="Times New Roman" w:cs="Times New Roman" w:eastAsia="Times New Roman" w:hAnsi="Times New Roman"/>
          <w:i w:val="1"/>
          <w:sz w:val="18"/>
          <w:szCs w:val="18"/>
          <w:rtl w:val="0"/>
        </w:rPr>
        <w:t xml:space="preserve">arXiv preprint arXiv:2307.14984</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color w:val="1f1f1f"/>
          <w:sz w:val="18"/>
          <w:szCs w:val="18"/>
        </w:rPr>
      </w:pPr>
      <w:r w:rsidDel="00000000" w:rsidR="00000000" w:rsidRPr="00000000">
        <w:rPr>
          <w:rFonts w:ascii="Times New Roman" w:cs="Times New Roman" w:eastAsia="Times New Roman" w:hAnsi="Times New Roman"/>
          <w:color w:val="1f1f1f"/>
          <w:sz w:val="18"/>
          <w:szCs w:val="18"/>
          <w:rtl w:val="0"/>
        </w:rPr>
        <w:t xml:space="preserve">Gould, N., &amp; Taylor, I. (1996). Reflective learning for social work. Research, theory and practice. Brookfield, VT: Ashgate</w:t>
      </w:r>
    </w:p>
    <w:p w:rsidR="00000000" w:rsidDel="00000000" w:rsidP="00000000" w:rsidRDefault="00000000" w:rsidRPr="00000000" w14:paraId="0000004B">
      <w:pPr>
        <w:spacing w:after="0" w:line="24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Jeon, J., &amp; Lee, S. (2023). Large language models in education: A focus on the complementary relationship</w:t>
      </w:r>
    </w:p>
    <w:p w:rsidR="00000000" w:rsidDel="00000000" w:rsidP="00000000" w:rsidRDefault="00000000" w:rsidRPr="00000000" w14:paraId="0000004C">
      <w:pPr>
        <w:spacing w:after="0" w:line="240" w:lineRule="auto"/>
        <w:ind w:left="72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between human teachers and ChatGPT. Education and Information Technologies, </w:t>
      </w:r>
      <w:r w:rsidDel="00000000" w:rsidR="00000000" w:rsidRPr="00000000">
        <w:rPr>
          <w:rFonts w:ascii="Times New Roman" w:cs="Times New Roman" w:eastAsia="Times New Roman" w:hAnsi="Times New Roman"/>
          <w:i w:val="1"/>
          <w:sz w:val="18"/>
          <w:szCs w:val="18"/>
          <w:highlight w:val="white"/>
          <w:rtl w:val="0"/>
        </w:rPr>
        <w:t xml:space="preserve">28(12)</w:t>
      </w:r>
      <w:r w:rsidDel="00000000" w:rsidR="00000000" w:rsidRPr="00000000">
        <w:rPr>
          <w:rFonts w:ascii="Times New Roman" w:cs="Times New Roman" w:eastAsia="Times New Roman" w:hAnsi="Times New Roman"/>
          <w:sz w:val="18"/>
          <w:szCs w:val="18"/>
          <w:highlight w:val="white"/>
          <w:rtl w:val="0"/>
        </w:rPr>
        <w:t xml:space="preserve">, 15873-15892.</w:t>
      </w:r>
    </w:p>
    <w:p w:rsidR="00000000" w:rsidDel="00000000" w:rsidP="00000000" w:rsidRDefault="00000000" w:rsidRPr="00000000" w14:paraId="0000004D">
      <w:pPr>
        <w:spacing w:line="240" w:lineRule="auto"/>
        <w:rPr>
          <w:rFonts w:ascii="Times New Roman" w:cs="Times New Roman" w:eastAsia="Times New Roman" w:hAnsi="Times New Roman"/>
          <w:i w:val="1"/>
          <w:color w:val="1f1f1f"/>
          <w:sz w:val="18"/>
          <w:szCs w:val="18"/>
        </w:rPr>
      </w:pPr>
      <w:r w:rsidDel="00000000" w:rsidR="00000000" w:rsidRPr="00000000">
        <w:rPr>
          <w:rFonts w:ascii="Times New Roman" w:cs="Times New Roman" w:eastAsia="Times New Roman" w:hAnsi="Times New Roman"/>
          <w:color w:val="1f1f1f"/>
          <w:sz w:val="18"/>
          <w:szCs w:val="18"/>
          <w:rtl w:val="0"/>
        </w:rPr>
        <w:t xml:space="preserve">Korthagen, F.A., &amp; Kessels, J.P. (1999). Linking theory and practice: Changing the pedagogy of teacher education. </w:t>
      </w:r>
      <w:r w:rsidDel="00000000" w:rsidR="00000000" w:rsidRPr="00000000">
        <w:rPr>
          <w:rFonts w:ascii="Times New Roman" w:cs="Times New Roman" w:eastAsia="Times New Roman" w:hAnsi="Times New Roman"/>
          <w:i w:val="1"/>
          <w:color w:val="1f1f1f"/>
          <w:sz w:val="18"/>
          <w:szCs w:val="18"/>
          <w:rtl w:val="0"/>
        </w:rPr>
        <w:t xml:space="preserve">Educational </w:t>
      </w:r>
    </w:p>
    <w:p w:rsidR="00000000" w:rsidDel="00000000" w:rsidP="00000000" w:rsidRDefault="00000000" w:rsidRPr="00000000" w14:paraId="0000004E">
      <w:pPr>
        <w:spacing w:line="240" w:lineRule="auto"/>
        <w:ind w:firstLine="720"/>
        <w:rPr>
          <w:rFonts w:ascii="Times New Roman" w:cs="Times New Roman" w:eastAsia="Times New Roman" w:hAnsi="Times New Roman"/>
          <w:color w:val="1f1f1f"/>
          <w:sz w:val="18"/>
          <w:szCs w:val="18"/>
        </w:rPr>
      </w:pPr>
      <w:r w:rsidDel="00000000" w:rsidR="00000000" w:rsidRPr="00000000">
        <w:rPr>
          <w:rFonts w:ascii="Times New Roman" w:cs="Times New Roman" w:eastAsia="Times New Roman" w:hAnsi="Times New Roman"/>
          <w:i w:val="1"/>
          <w:color w:val="1f1f1f"/>
          <w:sz w:val="18"/>
          <w:szCs w:val="18"/>
          <w:rtl w:val="0"/>
        </w:rPr>
        <w:t xml:space="preserve">Researcher, 28</w:t>
      </w:r>
      <w:r w:rsidDel="00000000" w:rsidR="00000000" w:rsidRPr="00000000">
        <w:rPr>
          <w:rFonts w:ascii="Times New Roman" w:cs="Times New Roman" w:eastAsia="Times New Roman" w:hAnsi="Times New Roman"/>
          <w:color w:val="1f1f1f"/>
          <w:sz w:val="18"/>
          <w:szCs w:val="18"/>
          <w:rtl w:val="0"/>
        </w:rPr>
        <w:t xml:space="preserve">(4), 4.</w:t>
      </w:r>
    </w:p>
    <w:p w:rsidR="00000000" w:rsidDel="00000000" w:rsidP="00000000" w:rsidRDefault="00000000" w:rsidRPr="00000000" w14:paraId="0000004F">
      <w:pPr>
        <w:spacing w:after="0" w:line="24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Koro-Ljungberg, M., Douglas, E. P., Therriault, D., Malcolm, Z., &amp; McNeill, N. (2012). Reconceptualizing and decentering </w:t>
      </w:r>
    </w:p>
    <w:p w:rsidR="00000000" w:rsidDel="00000000" w:rsidP="00000000" w:rsidRDefault="00000000" w:rsidRPr="00000000" w14:paraId="00000050">
      <w:pPr>
        <w:spacing w:after="0" w:line="240" w:lineRule="auto"/>
        <w:ind w:firstLine="72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think-aloud methodology in qualitative research. </w:t>
      </w:r>
      <w:r w:rsidDel="00000000" w:rsidR="00000000" w:rsidRPr="00000000">
        <w:rPr>
          <w:rFonts w:ascii="Times New Roman" w:cs="Times New Roman" w:eastAsia="Times New Roman" w:hAnsi="Times New Roman"/>
          <w:i w:val="1"/>
          <w:sz w:val="18"/>
          <w:szCs w:val="18"/>
          <w:highlight w:val="white"/>
          <w:rtl w:val="0"/>
        </w:rPr>
        <w:t xml:space="preserve">Qualitative Research: QR</w:t>
      </w:r>
      <w:r w:rsidDel="00000000" w:rsidR="00000000" w:rsidRPr="00000000">
        <w:rPr>
          <w:rFonts w:ascii="Times New Roman" w:cs="Times New Roman" w:eastAsia="Times New Roman" w:hAnsi="Times New Roman"/>
          <w:sz w:val="18"/>
          <w:szCs w:val="18"/>
          <w:highlight w:val="white"/>
          <w:rtl w:val="0"/>
        </w:rPr>
        <w:t xml:space="preserve">, </w:t>
      </w:r>
      <w:r w:rsidDel="00000000" w:rsidR="00000000" w:rsidRPr="00000000">
        <w:rPr>
          <w:rFonts w:ascii="Times New Roman" w:cs="Times New Roman" w:eastAsia="Times New Roman" w:hAnsi="Times New Roman"/>
          <w:i w:val="1"/>
          <w:sz w:val="18"/>
          <w:szCs w:val="18"/>
          <w:highlight w:val="white"/>
          <w:rtl w:val="0"/>
        </w:rPr>
        <w:t xml:space="preserve">13</w:t>
      </w:r>
      <w:r w:rsidDel="00000000" w:rsidR="00000000" w:rsidRPr="00000000">
        <w:rPr>
          <w:rFonts w:ascii="Times New Roman" w:cs="Times New Roman" w:eastAsia="Times New Roman" w:hAnsi="Times New Roman"/>
          <w:sz w:val="18"/>
          <w:szCs w:val="18"/>
          <w:highlight w:val="white"/>
          <w:rtl w:val="0"/>
        </w:rPr>
        <w:t xml:space="preserve">(6), 735–753. </w:t>
      </w:r>
    </w:p>
    <w:p w:rsidR="00000000" w:rsidDel="00000000" w:rsidP="00000000" w:rsidRDefault="00000000" w:rsidRPr="00000000" w14:paraId="00000051">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 C., Su, X., Han, H., Xue, C., Zheng, C., &amp; Fan, C. (2023). Quantifying the impact of large language</w:t>
      </w:r>
    </w:p>
    <w:p w:rsidR="00000000" w:rsidDel="00000000" w:rsidP="00000000" w:rsidRDefault="00000000" w:rsidRPr="00000000" w14:paraId="00000052">
      <w:pPr>
        <w:spacing w:line="240" w:lineRule="auto"/>
        <w:ind w:left="720" w:firstLine="0"/>
        <w:rPr>
          <w:rFonts w:ascii="Times New Roman" w:cs="Times New Roman" w:eastAsia="Times New Roman" w:hAnsi="Times New Roman"/>
          <w:color w:val="1155cc"/>
          <w:sz w:val="18"/>
          <w:szCs w:val="18"/>
          <w:u w:val="single"/>
        </w:rPr>
      </w:pPr>
      <w:r w:rsidDel="00000000" w:rsidR="00000000" w:rsidRPr="00000000">
        <w:rPr>
          <w:rFonts w:ascii="Times New Roman" w:cs="Times New Roman" w:eastAsia="Times New Roman" w:hAnsi="Times New Roman"/>
          <w:sz w:val="18"/>
          <w:szCs w:val="18"/>
          <w:rtl w:val="0"/>
        </w:rPr>
        <w:t xml:space="preserve">models on collective opinion dynamics. </w:t>
      </w:r>
      <w:r w:rsidDel="00000000" w:rsidR="00000000" w:rsidRPr="00000000">
        <w:rPr>
          <w:rFonts w:ascii="Times New Roman" w:cs="Times New Roman" w:eastAsia="Times New Roman" w:hAnsi="Times New Roman"/>
          <w:i w:val="1"/>
          <w:sz w:val="18"/>
          <w:szCs w:val="18"/>
          <w:rtl w:val="0"/>
        </w:rPr>
        <w:t xml:space="preserve">arXiv preprint arXiv:2308.03313</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color w:val="1f1f1f"/>
          <w:sz w:val="18"/>
          <w:szCs w:val="18"/>
        </w:rPr>
      </w:pPr>
      <w:r w:rsidDel="00000000" w:rsidR="00000000" w:rsidRPr="00000000">
        <w:rPr>
          <w:rFonts w:ascii="Times New Roman" w:cs="Times New Roman" w:eastAsia="Times New Roman" w:hAnsi="Times New Roman"/>
          <w:color w:val="1f1f1f"/>
          <w:sz w:val="18"/>
          <w:szCs w:val="18"/>
          <w:rtl w:val="0"/>
        </w:rPr>
        <w:t xml:space="preserve">Mayes, C. (2001). Deepening our reflectivity. The Teacher Educator, 36(4), 248–264.</w:t>
      </w:r>
    </w:p>
    <w:p w:rsidR="00000000" w:rsidDel="00000000" w:rsidP="00000000" w:rsidRDefault="00000000" w:rsidRPr="00000000" w14:paraId="00000054">
      <w:pPr>
        <w:spacing w:after="0" w:line="24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McKenney, S., &amp; Reeves, T. C. (2018). </w:t>
      </w:r>
      <w:r w:rsidDel="00000000" w:rsidR="00000000" w:rsidRPr="00000000">
        <w:rPr>
          <w:rFonts w:ascii="Times New Roman" w:cs="Times New Roman" w:eastAsia="Times New Roman" w:hAnsi="Times New Roman"/>
          <w:i w:val="1"/>
          <w:sz w:val="18"/>
          <w:szCs w:val="18"/>
          <w:highlight w:val="white"/>
          <w:rtl w:val="0"/>
        </w:rPr>
        <w:t xml:space="preserve">Conducting educational design research</w:t>
      </w:r>
      <w:r w:rsidDel="00000000" w:rsidR="00000000" w:rsidRPr="00000000">
        <w:rPr>
          <w:rFonts w:ascii="Times New Roman" w:cs="Times New Roman" w:eastAsia="Times New Roman" w:hAnsi="Times New Roman"/>
          <w:sz w:val="18"/>
          <w:szCs w:val="18"/>
          <w:highlight w:val="white"/>
          <w:rtl w:val="0"/>
        </w:rPr>
        <w:t xml:space="preserve"> (2nd ed.) Routledge. </w:t>
      </w:r>
    </w:p>
    <w:p w:rsidR="00000000" w:rsidDel="00000000" w:rsidP="00000000" w:rsidRDefault="00000000" w:rsidRPr="00000000" w14:paraId="00000055">
      <w:pPr>
        <w:spacing w:after="0" w:line="24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Microsoft. (2024). </w:t>
      </w:r>
      <w:r w:rsidDel="00000000" w:rsidR="00000000" w:rsidRPr="00000000">
        <w:rPr>
          <w:rFonts w:ascii="Times New Roman" w:cs="Times New Roman" w:eastAsia="Times New Roman" w:hAnsi="Times New Roman"/>
          <w:i w:val="1"/>
          <w:sz w:val="18"/>
          <w:szCs w:val="18"/>
          <w:highlight w:val="white"/>
          <w:rtl w:val="0"/>
        </w:rPr>
        <w:t xml:space="preserve">AI in education: A Microsoft special report</w:t>
      </w:r>
      <w:r w:rsidDel="00000000" w:rsidR="00000000" w:rsidRPr="00000000">
        <w:rPr>
          <w:rFonts w:ascii="Times New Roman" w:cs="Times New Roman" w:eastAsia="Times New Roman" w:hAnsi="Times New Roman"/>
          <w:sz w:val="18"/>
          <w:szCs w:val="18"/>
          <w:highlight w:val="white"/>
          <w:rtl w:val="0"/>
        </w:rPr>
        <w:t xml:space="preserve">. </w:t>
      </w:r>
    </w:p>
    <w:p w:rsidR="00000000" w:rsidDel="00000000" w:rsidP="00000000" w:rsidRDefault="00000000" w:rsidRPr="00000000" w14:paraId="00000056">
      <w:pPr>
        <w:spacing w:after="0" w:line="240" w:lineRule="auto"/>
        <w:ind w:left="72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https://edudownloads.azureedge.net/msdownloads/AI-in-Education-A-Microsoft-Special-Report.pdf</w:t>
      </w:r>
    </w:p>
    <w:p w:rsidR="00000000" w:rsidDel="00000000" w:rsidP="00000000" w:rsidRDefault="00000000" w:rsidRPr="00000000" w14:paraId="00000057">
      <w:pPr>
        <w:spacing w:line="240" w:lineRule="auto"/>
        <w:rPr>
          <w:rFonts w:ascii="Times New Roman" w:cs="Times New Roman" w:eastAsia="Times New Roman" w:hAnsi="Times New Roman"/>
          <w:color w:val="222222"/>
          <w:sz w:val="18"/>
          <w:szCs w:val="18"/>
          <w:highlight w:val="white"/>
        </w:rPr>
      </w:pPr>
      <w:r w:rsidDel="00000000" w:rsidR="00000000" w:rsidRPr="00000000">
        <w:rPr>
          <w:rFonts w:ascii="Times New Roman" w:cs="Times New Roman" w:eastAsia="Times New Roman" w:hAnsi="Times New Roman"/>
          <w:color w:val="222222"/>
          <w:sz w:val="18"/>
          <w:szCs w:val="18"/>
          <w:highlight w:val="white"/>
          <w:rtl w:val="0"/>
        </w:rPr>
        <w:t xml:space="preserve">Mortari, L. (2012). Learning thoughtful reflection in teacher education. </w:t>
      </w:r>
      <w:r w:rsidDel="00000000" w:rsidR="00000000" w:rsidRPr="00000000">
        <w:rPr>
          <w:rFonts w:ascii="Times New Roman" w:cs="Times New Roman" w:eastAsia="Times New Roman" w:hAnsi="Times New Roman"/>
          <w:i w:val="1"/>
          <w:color w:val="222222"/>
          <w:sz w:val="18"/>
          <w:szCs w:val="18"/>
          <w:highlight w:val="white"/>
          <w:rtl w:val="0"/>
        </w:rPr>
        <w:t xml:space="preserve">Teachers and Teaching</w:t>
      </w:r>
      <w:r w:rsidDel="00000000" w:rsidR="00000000" w:rsidRPr="00000000">
        <w:rPr>
          <w:rFonts w:ascii="Times New Roman" w:cs="Times New Roman" w:eastAsia="Times New Roman" w:hAnsi="Times New Roman"/>
          <w:color w:val="222222"/>
          <w:sz w:val="18"/>
          <w:szCs w:val="18"/>
          <w:highlight w:val="white"/>
          <w:rtl w:val="0"/>
        </w:rPr>
        <w:t xml:space="preserve">, </w:t>
      </w:r>
      <w:r w:rsidDel="00000000" w:rsidR="00000000" w:rsidRPr="00000000">
        <w:rPr>
          <w:rFonts w:ascii="Times New Roman" w:cs="Times New Roman" w:eastAsia="Times New Roman" w:hAnsi="Times New Roman"/>
          <w:i w:val="1"/>
          <w:color w:val="222222"/>
          <w:sz w:val="18"/>
          <w:szCs w:val="18"/>
          <w:highlight w:val="white"/>
          <w:rtl w:val="0"/>
        </w:rPr>
        <w:t xml:space="preserve">18</w:t>
      </w:r>
      <w:r w:rsidDel="00000000" w:rsidR="00000000" w:rsidRPr="00000000">
        <w:rPr>
          <w:rFonts w:ascii="Times New Roman" w:cs="Times New Roman" w:eastAsia="Times New Roman" w:hAnsi="Times New Roman"/>
          <w:color w:val="222222"/>
          <w:sz w:val="18"/>
          <w:szCs w:val="18"/>
          <w:highlight w:val="white"/>
          <w:rtl w:val="0"/>
        </w:rPr>
        <w:t xml:space="preserve">(5), 525-545.</w:t>
      </w:r>
    </w:p>
    <w:p w:rsidR="00000000" w:rsidDel="00000000" w:rsidP="00000000" w:rsidRDefault="00000000" w:rsidRPr="00000000" w14:paraId="00000058">
      <w:pPr>
        <w:spacing w:line="24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Open Innovation Team and Department for Education. (2024). </w:t>
      </w:r>
      <w:r w:rsidDel="00000000" w:rsidR="00000000" w:rsidRPr="00000000">
        <w:rPr>
          <w:rFonts w:ascii="Times New Roman" w:cs="Times New Roman" w:eastAsia="Times New Roman" w:hAnsi="Times New Roman"/>
          <w:i w:val="1"/>
          <w:sz w:val="18"/>
          <w:szCs w:val="18"/>
          <w:highlight w:val="white"/>
          <w:rtl w:val="0"/>
        </w:rPr>
        <w:t xml:space="preserve">Generative AI in education: Educator and expert views</w:t>
      </w:r>
      <w:r w:rsidDel="00000000" w:rsidR="00000000" w:rsidRPr="00000000">
        <w:rPr>
          <w:rFonts w:ascii="Times New Roman" w:cs="Times New Roman" w:eastAsia="Times New Roman" w:hAnsi="Times New Roman"/>
          <w:sz w:val="18"/>
          <w:szCs w:val="18"/>
          <w:highlight w:val="white"/>
          <w:rtl w:val="0"/>
        </w:rPr>
        <w:t xml:space="preserve">. </w:t>
      </w:r>
    </w:p>
    <w:p w:rsidR="00000000" w:rsidDel="00000000" w:rsidP="00000000" w:rsidRDefault="00000000" w:rsidRPr="00000000" w14:paraId="00000059">
      <w:pPr>
        <w:spacing w:line="240" w:lineRule="auto"/>
        <w:ind w:left="72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https://assets.publishing.service.gov.uk/media/65b8cd41b5cb6e000d8bb74e/DfE_GenAI_in_education_-_Educator_and_expert_views_report.pdf#page=8.06</w:t>
      </w:r>
    </w:p>
    <w:p w:rsidR="00000000" w:rsidDel="00000000" w:rsidP="00000000" w:rsidRDefault="00000000" w:rsidRPr="00000000" w14:paraId="0000005A">
      <w:pPr>
        <w:spacing w:line="240" w:lineRule="auto"/>
        <w:rPr>
          <w:rFonts w:ascii="Times New Roman" w:cs="Times New Roman" w:eastAsia="Times New Roman" w:hAnsi="Times New Roman"/>
          <w:color w:val="1f1f1f"/>
          <w:sz w:val="18"/>
          <w:szCs w:val="18"/>
        </w:rPr>
      </w:pPr>
      <w:r w:rsidDel="00000000" w:rsidR="00000000" w:rsidRPr="00000000">
        <w:rPr>
          <w:rFonts w:ascii="Times New Roman" w:cs="Times New Roman" w:eastAsia="Times New Roman" w:hAnsi="Times New Roman"/>
          <w:color w:val="1f1f1f"/>
          <w:sz w:val="18"/>
          <w:szCs w:val="18"/>
          <w:rtl w:val="0"/>
        </w:rPr>
        <w:t xml:space="preserve">Pallascio, R., &amp; Lafortune, L. (2000). Pour une pensée réflexive en éducation. PUQ.</w:t>
      </w:r>
    </w:p>
    <w:p w:rsidR="00000000" w:rsidDel="00000000" w:rsidP="00000000" w:rsidRDefault="00000000" w:rsidRPr="00000000" w14:paraId="0000005B">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Park, J. S., O'Brien, J., Cai, C. J., Morris, M. R., Liang, P., &amp; Bernstein, M. S. (2023, October). Generative agents: Interactive </w:t>
      </w:r>
    </w:p>
    <w:p w:rsidR="00000000" w:rsidDel="00000000" w:rsidP="00000000" w:rsidRDefault="00000000" w:rsidRPr="00000000" w14:paraId="0000005C">
      <w:pPr>
        <w:spacing w:line="240" w:lineRule="auto"/>
        <w:ind w:left="720" w:firstLine="0"/>
        <w:rPr>
          <w:rFonts w:ascii="Times New Roman" w:cs="Times New Roman" w:eastAsia="Times New Roman" w:hAnsi="Times New Roman"/>
          <w:color w:val="1155cc"/>
          <w:sz w:val="18"/>
          <w:szCs w:val="18"/>
          <w:u w:val="single"/>
        </w:rPr>
      </w:pPr>
      <w:r w:rsidDel="00000000" w:rsidR="00000000" w:rsidRPr="00000000">
        <w:rPr>
          <w:rFonts w:ascii="Times New Roman" w:cs="Times New Roman" w:eastAsia="Times New Roman" w:hAnsi="Times New Roman"/>
          <w:sz w:val="18"/>
          <w:szCs w:val="18"/>
          <w:rtl w:val="0"/>
        </w:rPr>
        <w:t xml:space="preserve">simulacra of human behavior. In </w:t>
      </w:r>
      <w:r w:rsidDel="00000000" w:rsidR="00000000" w:rsidRPr="00000000">
        <w:rPr>
          <w:rFonts w:ascii="Times New Roman" w:cs="Times New Roman" w:eastAsia="Times New Roman" w:hAnsi="Times New Roman"/>
          <w:i w:val="1"/>
          <w:sz w:val="18"/>
          <w:szCs w:val="18"/>
          <w:rtl w:val="0"/>
        </w:rPr>
        <w:t xml:space="preserve">Proceedings of the 36th annual ACM symposium on user interface software and technology</w:t>
      </w:r>
      <w:r w:rsidDel="00000000" w:rsidR="00000000" w:rsidRPr="00000000">
        <w:rPr>
          <w:rFonts w:ascii="Times New Roman" w:cs="Times New Roman" w:eastAsia="Times New Roman" w:hAnsi="Times New Roman"/>
          <w:sz w:val="18"/>
          <w:szCs w:val="18"/>
          <w:rtl w:val="0"/>
        </w:rPr>
        <w:t xml:space="preserve"> (pp. 1-22).</w:t>
      </w:r>
      <w:hyperlink r:id="rId10">
        <w:r w:rsidDel="00000000" w:rsidR="00000000" w:rsidRPr="00000000">
          <w:rPr>
            <w:rFonts w:ascii="Times New Roman" w:cs="Times New Roman" w:eastAsia="Times New Roman" w:hAnsi="Times New Roman"/>
            <w:sz w:val="18"/>
            <w:szCs w:val="18"/>
            <w:rtl w:val="0"/>
          </w:rPr>
          <w:t xml:space="preserve"> </w:t>
        </w:r>
      </w:hyperlink>
      <w:r w:rsidDel="00000000" w:rsidR="00000000" w:rsidRPr="00000000">
        <w:rPr>
          <w:rtl w:val="0"/>
        </w:rPr>
      </w:r>
    </w:p>
    <w:p w:rsidR="00000000" w:rsidDel="00000000" w:rsidP="00000000" w:rsidRDefault="00000000" w:rsidRPr="00000000" w14:paraId="0000005D">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Park, J. S., Popowski, L., Cai, C., Morris, M. R., Liang, P., &amp; Bernstein, M. S. (2022, October). Social simulacra: Creating </w:t>
      </w:r>
    </w:p>
    <w:p w:rsidR="00000000" w:rsidDel="00000000" w:rsidP="00000000" w:rsidRDefault="00000000" w:rsidRPr="00000000" w14:paraId="0000005E">
      <w:pPr>
        <w:spacing w:line="240" w:lineRule="auto"/>
        <w:ind w:left="720" w:firstLine="0"/>
        <w:rPr>
          <w:rFonts w:ascii="Times New Roman" w:cs="Times New Roman" w:eastAsia="Times New Roman" w:hAnsi="Times New Roman"/>
          <w:color w:val="222222"/>
          <w:sz w:val="18"/>
          <w:szCs w:val="18"/>
          <w:highlight w:val="white"/>
        </w:rPr>
      </w:pPr>
      <w:r w:rsidDel="00000000" w:rsidR="00000000" w:rsidRPr="00000000">
        <w:rPr>
          <w:rFonts w:ascii="Times New Roman" w:cs="Times New Roman" w:eastAsia="Times New Roman" w:hAnsi="Times New Roman"/>
          <w:sz w:val="18"/>
          <w:szCs w:val="18"/>
          <w:rtl w:val="0"/>
        </w:rPr>
        <w:t xml:space="preserve">populated prototypes for social computing systems. In </w:t>
      </w:r>
      <w:r w:rsidDel="00000000" w:rsidR="00000000" w:rsidRPr="00000000">
        <w:rPr>
          <w:rFonts w:ascii="Times New Roman" w:cs="Times New Roman" w:eastAsia="Times New Roman" w:hAnsi="Times New Roman"/>
          <w:i w:val="1"/>
          <w:sz w:val="18"/>
          <w:szCs w:val="18"/>
          <w:rtl w:val="0"/>
        </w:rPr>
        <w:t xml:space="preserve">Proceedings of the 35th Annual ACM Symposium on User Interface Software and Technology</w:t>
      </w:r>
      <w:r w:rsidDel="00000000" w:rsidR="00000000" w:rsidRPr="00000000">
        <w:rPr>
          <w:rFonts w:ascii="Times New Roman" w:cs="Times New Roman" w:eastAsia="Times New Roman" w:hAnsi="Times New Roman"/>
          <w:sz w:val="18"/>
          <w:szCs w:val="18"/>
          <w:rtl w:val="0"/>
        </w:rPr>
        <w:t xml:space="preserve"> (pp. 1-18).</w:t>
      </w:r>
      <w:hyperlink r:id="rId11">
        <w:r w:rsidDel="00000000" w:rsidR="00000000" w:rsidRPr="00000000">
          <w:rPr>
            <w:rFonts w:ascii="Times New Roman" w:cs="Times New Roman" w:eastAsia="Times New Roman" w:hAnsi="Times New Roman"/>
            <w:sz w:val="18"/>
            <w:szCs w:val="18"/>
            <w:rtl w:val="0"/>
          </w:rPr>
          <w:t xml:space="preserve"> </w:t>
        </w:r>
      </w:hyperlink>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Parsons, A. W., &amp; Hjalmarson, M. A. (2017). Study of self: The self as designer in online teacher education. </w:t>
      </w:r>
    </w:p>
    <w:p w:rsidR="00000000" w:rsidDel="00000000" w:rsidP="00000000" w:rsidRDefault="00000000" w:rsidRPr="00000000" w14:paraId="00000060">
      <w:pPr>
        <w:spacing w:after="0" w:line="240" w:lineRule="auto"/>
        <w:ind w:firstLine="72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 </w:t>
      </w:r>
      <w:r w:rsidDel="00000000" w:rsidR="00000000" w:rsidRPr="00000000">
        <w:rPr>
          <w:rFonts w:ascii="Times New Roman" w:cs="Times New Roman" w:eastAsia="Times New Roman" w:hAnsi="Times New Roman"/>
          <w:i w:val="1"/>
          <w:sz w:val="18"/>
          <w:szCs w:val="18"/>
          <w:highlight w:val="white"/>
          <w:rtl w:val="0"/>
        </w:rPr>
        <w:t xml:space="preserve">Studying teacher education</w:t>
      </w:r>
      <w:r w:rsidDel="00000000" w:rsidR="00000000" w:rsidRPr="00000000">
        <w:rPr>
          <w:rFonts w:ascii="Times New Roman" w:cs="Times New Roman" w:eastAsia="Times New Roman" w:hAnsi="Times New Roman"/>
          <w:sz w:val="18"/>
          <w:szCs w:val="18"/>
          <w:highlight w:val="white"/>
          <w:rtl w:val="0"/>
        </w:rPr>
        <w:t xml:space="preserve">, </w:t>
      </w:r>
      <w:r w:rsidDel="00000000" w:rsidR="00000000" w:rsidRPr="00000000">
        <w:rPr>
          <w:rFonts w:ascii="Times New Roman" w:cs="Times New Roman" w:eastAsia="Times New Roman" w:hAnsi="Times New Roman"/>
          <w:i w:val="1"/>
          <w:sz w:val="18"/>
          <w:szCs w:val="18"/>
          <w:highlight w:val="white"/>
          <w:rtl w:val="0"/>
        </w:rPr>
        <w:t xml:space="preserve">13</w:t>
      </w:r>
      <w:r w:rsidDel="00000000" w:rsidR="00000000" w:rsidRPr="00000000">
        <w:rPr>
          <w:rFonts w:ascii="Times New Roman" w:cs="Times New Roman" w:eastAsia="Times New Roman" w:hAnsi="Times New Roman"/>
          <w:sz w:val="18"/>
          <w:szCs w:val="18"/>
          <w:highlight w:val="white"/>
          <w:rtl w:val="0"/>
        </w:rPr>
        <w:t xml:space="preserve">(3), 331-349.</w:t>
      </w:r>
    </w:p>
    <w:p w:rsidR="00000000" w:rsidDel="00000000" w:rsidP="00000000" w:rsidRDefault="00000000" w:rsidRPr="00000000" w14:paraId="00000061">
      <w:pPr>
        <w:spacing w:line="240" w:lineRule="auto"/>
        <w:rPr>
          <w:rFonts w:ascii="Times New Roman" w:cs="Times New Roman" w:eastAsia="Times New Roman" w:hAnsi="Times New Roman"/>
          <w:color w:val="1f1f1f"/>
          <w:sz w:val="18"/>
          <w:szCs w:val="18"/>
        </w:rPr>
      </w:pPr>
      <w:r w:rsidDel="00000000" w:rsidR="00000000" w:rsidRPr="00000000">
        <w:rPr>
          <w:rFonts w:ascii="Times New Roman" w:cs="Times New Roman" w:eastAsia="Times New Roman" w:hAnsi="Times New Roman"/>
          <w:color w:val="1f1f1f"/>
          <w:sz w:val="18"/>
          <w:szCs w:val="18"/>
          <w:rtl w:val="0"/>
        </w:rPr>
        <w:t xml:space="preserve">Raymond, E. (2000). Cognitive Characteristics. Learners with Mild Disabilities (pp. 169-201). Needham Heights, </w:t>
      </w:r>
    </w:p>
    <w:p w:rsidR="00000000" w:rsidDel="00000000" w:rsidP="00000000" w:rsidRDefault="00000000" w:rsidRPr="00000000" w14:paraId="00000062">
      <w:pPr>
        <w:spacing w:line="240" w:lineRule="auto"/>
        <w:ind w:firstLine="720"/>
        <w:rPr>
          <w:rFonts w:ascii="Times New Roman" w:cs="Times New Roman" w:eastAsia="Times New Roman" w:hAnsi="Times New Roman"/>
          <w:color w:val="1f1f1f"/>
          <w:sz w:val="18"/>
          <w:szCs w:val="18"/>
        </w:rPr>
      </w:pPr>
      <w:r w:rsidDel="00000000" w:rsidR="00000000" w:rsidRPr="00000000">
        <w:rPr>
          <w:rFonts w:ascii="Times New Roman" w:cs="Times New Roman" w:eastAsia="Times New Roman" w:hAnsi="Times New Roman"/>
          <w:color w:val="1f1f1f"/>
          <w:sz w:val="18"/>
          <w:szCs w:val="18"/>
          <w:rtl w:val="0"/>
        </w:rPr>
        <w:t xml:space="preserve">MA: Allyn &amp; Bacon, A Pearson Education Company.</w:t>
      </w:r>
    </w:p>
    <w:p w:rsidR="00000000" w:rsidDel="00000000" w:rsidP="00000000" w:rsidRDefault="00000000" w:rsidRPr="00000000" w14:paraId="00000063">
      <w:pPr>
        <w:spacing w:after="0" w:line="24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Saldaña, J. (2016). </w:t>
      </w:r>
      <w:r w:rsidDel="00000000" w:rsidR="00000000" w:rsidRPr="00000000">
        <w:rPr>
          <w:rFonts w:ascii="Times New Roman" w:cs="Times New Roman" w:eastAsia="Times New Roman" w:hAnsi="Times New Roman"/>
          <w:i w:val="1"/>
          <w:sz w:val="18"/>
          <w:szCs w:val="18"/>
          <w:highlight w:val="white"/>
          <w:rtl w:val="0"/>
        </w:rPr>
        <w:t xml:space="preserve">The coding manual for qualitative researchers</w:t>
      </w:r>
      <w:r w:rsidDel="00000000" w:rsidR="00000000" w:rsidRPr="00000000">
        <w:rPr>
          <w:rFonts w:ascii="Times New Roman" w:cs="Times New Roman" w:eastAsia="Times New Roman" w:hAnsi="Times New Roman"/>
          <w:sz w:val="18"/>
          <w:szCs w:val="18"/>
          <w:highlight w:val="white"/>
          <w:rtl w:val="0"/>
        </w:rPr>
        <w:t xml:space="preserve"> (3rd ed.). Sage Publications Ltd.</w:t>
      </w:r>
    </w:p>
    <w:p w:rsidR="00000000" w:rsidDel="00000000" w:rsidP="00000000" w:rsidRDefault="00000000" w:rsidRPr="00000000" w14:paraId="00000064">
      <w:pPr>
        <w:spacing w:after="0" w:line="24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Shanahan, M., McDonell, K., &amp; Reynolds, L. (2023). Role play with large language models. </w:t>
      </w:r>
      <w:r w:rsidDel="00000000" w:rsidR="00000000" w:rsidRPr="00000000">
        <w:rPr>
          <w:rFonts w:ascii="Times New Roman" w:cs="Times New Roman" w:eastAsia="Times New Roman" w:hAnsi="Times New Roman"/>
          <w:i w:val="1"/>
          <w:sz w:val="18"/>
          <w:szCs w:val="18"/>
          <w:highlight w:val="white"/>
          <w:rtl w:val="0"/>
        </w:rPr>
        <w:t xml:space="preserve">Nature, 623</w:t>
      </w:r>
      <w:r w:rsidDel="00000000" w:rsidR="00000000" w:rsidRPr="00000000">
        <w:rPr>
          <w:rFonts w:ascii="Times New Roman" w:cs="Times New Roman" w:eastAsia="Times New Roman" w:hAnsi="Times New Roman"/>
          <w:sz w:val="18"/>
          <w:szCs w:val="18"/>
          <w:highlight w:val="white"/>
          <w:rtl w:val="0"/>
        </w:rPr>
        <w:t xml:space="preserve">(7987), 493-498.</w:t>
      </w:r>
    </w:p>
    <w:p w:rsidR="00000000" w:rsidDel="00000000" w:rsidP="00000000" w:rsidRDefault="00000000" w:rsidRPr="00000000" w14:paraId="00000065">
      <w:pPr>
        <w:spacing w:after="0" w:line="24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Sandoval, W. (2014). Conjecture mapping: An approach to systematic educational design </w:t>
      </w:r>
    </w:p>
    <w:p w:rsidR="00000000" w:rsidDel="00000000" w:rsidP="00000000" w:rsidRDefault="00000000" w:rsidRPr="00000000" w14:paraId="00000066">
      <w:pPr>
        <w:spacing w:after="0" w:line="240" w:lineRule="auto"/>
        <w:ind w:left="72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research. </w:t>
      </w:r>
      <w:r w:rsidDel="00000000" w:rsidR="00000000" w:rsidRPr="00000000">
        <w:rPr>
          <w:rFonts w:ascii="Times New Roman" w:cs="Times New Roman" w:eastAsia="Times New Roman" w:hAnsi="Times New Roman"/>
          <w:i w:val="1"/>
          <w:sz w:val="18"/>
          <w:szCs w:val="18"/>
          <w:highlight w:val="white"/>
          <w:rtl w:val="0"/>
        </w:rPr>
        <w:t xml:space="preserve">Journal of the Learning Sciences</w:t>
      </w:r>
      <w:r w:rsidDel="00000000" w:rsidR="00000000" w:rsidRPr="00000000">
        <w:rPr>
          <w:rFonts w:ascii="Times New Roman" w:cs="Times New Roman" w:eastAsia="Times New Roman" w:hAnsi="Times New Roman"/>
          <w:sz w:val="18"/>
          <w:szCs w:val="18"/>
          <w:highlight w:val="white"/>
          <w:rtl w:val="0"/>
        </w:rPr>
        <w:t xml:space="preserve">, </w:t>
      </w:r>
      <w:r w:rsidDel="00000000" w:rsidR="00000000" w:rsidRPr="00000000">
        <w:rPr>
          <w:rFonts w:ascii="Times New Roman" w:cs="Times New Roman" w:eastAsia="Times New Roman" w:hAnsi="Times New Roman"/>
          <w:i w:val="1"/>
          <w:sz w:val="18"/>
          <w:szCs w:val="18"/>
          <w:highlight w:val="white"/>
          <w:rtl w:val="0"/>
        </w:rPr>
        <w:t xml:space="preserve">23</w:t>
      </w:r>
      <w:r w:rsidDel="00000000" w:rsidR="00000000" w:rsidRPr="00000000">
        <w:rPr>
          <w:rFonts w:ascii="Times New Roman" w:cs="Times New Roman" w:eastAsia="Times New Roman" w:hAnsi="Times New Roman"/>
          <w:sz w:val="18"/>
          <w:szCs w:val="18"/>
          <w:highlight w:val="white"/>
          <w:rtl w:val="0"/>
        </w:rPr>
        <w:t xml:space="preserve">(1), 18–36. https://doi.org/10.1080/10508406.2013.778204</w:t>
      </w:r>
    </w:p>
    <w:p w:rsidR="00000000" w:rsidDel="00000000" w:rsidP="00000000" w:rsidRDefault="00000000" w:rsidRPr="00000000" w14:paraId="00000067">
      <w:pPr>
        <w:spacing w:after="0" w:line="24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Schön, D. A. (1992). The theory of inquiry: Dewey’s legacy to education. </w:t>
      </w:r>
      <w:r w:rsidDel="00000000" w:rsidR="00000000" w:rsidRPr="00000000">
        <w:rPr>
          <w:rFonts w:ascii="Times New Roman" w:cs="Times New Roman" w:eastAsia="Times New Roman" w:hAnsi="Times New Roman"/>
          <w:i w:val="1"/>
          <w:sz w:val="18"/>
          <w:szCs w:val="18"/>
          <w:highlight w:val="white"/>
          <w:rtl w:val="0"/>
        </w:rPr>
        <w:t xml:space="preserve">Curriculum Inquiry</w:t>
      </w:r>
      <w:r w:rsidDel="00000000" w:rsidR="00000000" w:rsidRPr="00000000">
        <w:rPr>
          <w:rFonts w:ascii="Times New Roman" w:cs="Times New Roman" w:eastAsia="Times New Roman" w:hAnsi="Times New Roman"/>
          <w:sz w:val="18"/>
          <w:szCs w:val="18"/>
          <w:highlight w:val="white"/>
          <w:rtl w:val="0"/>
        </w:rPr>
        <w:t xml:space="preserve">, </w:t>
      </w:r>
      <w:r w:rsidDel="00000000" w:rsidR="00000000" w:rsidRPr="00000000">
        <w:rPr>
          <w:rFonts w:ascii="Times New Roman" w:cs="Times New Roman" w:eastAsia="Times New Roman" w:hAnsi="Times New Roman"/>
          <w:i w:val="1"/>
          <w:sz w:val="18"/>
          <w:szCs w:val="18"/>
          <w:highlight w:val="white"/>
          <w:rtl w:val="0"/>
        </w:rPr>
        <w:t xml:space="preserve">22</w:t>
      </w:r>
      <w:r w:rsidDel="00000000" w:rsidR="00000000" w:rsidRPr="00000000">
        <w:rPr>
          <w:rFonts w:ascii="Times New Roman" w:cs="Times New Roman" w:eastAsia="Times New Roman" w:hAnsi="Times New Roman"/>
          <w:sz w:val="18"/>
          <w:szCs w:val="18"/>
          <w:highlight w:val="white"/>
          <w:rtl w:val="0"/>
        </w:rPr>
        <w:t xml:space="preserve">(2), 119–139. </w:t>
      </w:r>
    </w:p>
    <w:p w:rsidR="00000000" w:rsidDel="00000000" w:rsidP="00000000" w:rsidRDefault="00000000" w:rsidRPr="00000000" w14:paraId="00000068">
      <w:pPr>
        <w:spacing w:after="0" w:line="24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Schön, D. A. (1983). </w:t>
      </w:r>
      <w:r w:rsidDel="00000000" w:rsidR="00000000" w:rsidRPr="00000000">
        <w:rPr>
          <w:rFonts w:ascii="Times New Roman" w:cs="Times New Roman" w:eastAsia="Times New Roman" w:hAnsi="Times New Roman"/>
          <w:i w:val="1"/>
          <w:sz w:val="18"/>
          <w:szCs w:val="18"/>
          <w:highlight w:val="white"/>
          <w:rtl w:val="0"/>
        </w:rPr>
        <w:t xml:space="preserve">The reflective practitioner: How professionals think in action</w:t>
      </w:r>
      <w:r w:rsidDel="00000000" w:rsidR="00000000" w:rsidRPr="00000000">
        <w:rPr>
          <w:rFonts w:ascii="Times New Roman" w:cs="Times New Roman" w:eastAsia="Times New Roman" w:hAnsi="Times New Roman"/>
          <w:sz w:val="18"/>
          <w:szCs w:val="18"/>
          <w:highlight w:val="white"/>
          <w:rtl w:val="0"/>
        </w:rPr>
        <w:t xml:space="preserve">. Basic Books, Inc.</w:t>
      </w:r>
    </w:p>
    <w:p w:rsidR="00000000" w:rsidDel="00000000" w:rsidP="00000000" w:rsidRDefault="00000000" w:rsidRPr="00000000" w14:paraId="00000069">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Schick, T., Dwivedi-Yu, J., Dessì, R., Raileanu, R., Lomeli, M., Hambro, E., ... &amp; Scialom, T. (2023). Toolformer: Language </w:t>
      </w:r>
    </w:p>
    <w:p w:rsidR="00000000" w:rsidDel="00000000" w:rsidP="00000000" w:rsidRDefault="00000000" w:rsidRPr="00000000" w14:paraId="0000006A">
      <w:pPr>
        <w:spacing w:line="240" w:lineRule="auto"/>
        <w:ind w:firstLine="72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models can teach themselves to use tools. </w:t>
      </w:r>
      <w:r w:rsidDel="00000000" w:rsidR="00000000" w:rsidRPr="00000000">
        <w:rPr>
          <w:rFonts w:ascii="Times New Roman" w:cs="Times New Roman" w:eastAsia="Times New Roman" w:hAnsi="Times New Roman"/>
          <w:i w:val="1"/>
          <w:sz w:val="18"/>
          <w:szCs w:val="18"/>
          <w:rtl w:val="0"/>
        </w:rPr>
        <w:t xml:space="preserve">Advances in Neural Information Processing Systems</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i w:val="1"/>
          <w:sz w:val="18"/>
          <w:szCs w:val="18"/>
          <w:rtl w:val="0"/>
        </w:rPr>
        <w:t xml:space="preserve">36</w:t>
      </w:r>
      <w:r w:rsidDel="00000000" w:rsidR="00000000" w:rsidRPr="00000000">
        <w:rPr>
          <w:rFonts w:ascii="Times New Roman" w:cs="Times New Roman" w:eastAsia="Times New Roman" w:hAnsi="Times New Roman"/>
          <w:sz w:val="18"/>
          <w:szCs w:val="18"/>
          <w:rtl w:val="0"/>
        </w:rPr>
        <w:t xml:space="preserve">, 68539-68551.</w:t>
      </w:r>
    </w:p>
    <w:p w:rsidR="00000000" w:rsidDel="00000000" w:rsidP="00000000" w:rsidRDefault="00000000" w:rsidRPr="00000000" w14:paraId="0000006B">
      <w:pPr>
        <w:pBdr>
          <w:top w:color="e3e3e3" w:space="0" w:sz="0" w:val="none"/>
          <w:left w:color="e3e3e3" w:space="0" w:sz="0" w:val="none"/>
          <w:bottom w:color="e3e3e3" w:space="0" w:sz="0" w:val="none"/>
          <w:right w:color="e3e3e3" w:space="0" w:sz="0" w:val="none"/>
          <w:between w:color="e3e3e3" w:space="0" w:sz="0" w:val="none"/>
        </w:pBdr>
        <w:shd w:fill="ffffff" w:val="clea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Schuller, A., Janssen, D., Blumenröther, J., Probst, T. M., Schmidt, M., &amp; Kumar, C. (2024, May 11). Generating personas using </w:t>
      </w:r>
    </w:p>
    <w:p w:rsidR="00000000" w:rsidDel="00000000" w:rsidP="00000000" w:rsidRDefault="00000000" w:rsidRPr="00000000" w14:paraId="0000006C">
      <w:pPr>
        <w:pBdr>
          <w:top w:color="e3e3e3" w:space="0" w:sz="0" w:val="none"/>
          <w:left w:color="e3e3e3" w:space="0" w:sz="0" w:val="none"/>
          <w:bottom w:color="e3e3e3" w:space="0" w:sz="0" w:val="none"/>
          <w:right w:color="e3e3e3" w:space="0" w:sz="0" w:val="none"/>
          <w:between w:color="e3e3e3" w:space="0" w:sz="0" w:val="none"/>
        </w:pBdr>
        <w:shd w:fill="ffffff" w:val="clear"/>
        <w:spacing w:after="0" w:line="240" w:lineRule="auto"/>
        <w:ind w:left="7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LLMs and assessing their viability. </w:t>
      </w:r>
      <w:r w:rsidDel="00000000" w:rsidR="00000000" w:rsidRPr="00000000">
        <w:rPr>
          <w:rFonts w:ascii="Times New Roman" w:cs="Times New Roman" w:eastAsia="Times New Roman" w:hAnsi="Times New Roman"/>
          <w:i w:val="1"/>
          <w:sz w:val="18"/>
          <w:szCs w:val="18"/>
          <w:rtl w:val="0"/>
        </w:rPr>
        <w:t xml:space="preserve">Extended Abstracts of the CHI Conference on Human Factors in Computing Systems</w:t>
      </w:r>
      <w:r w:rsidDel="00000000" w:rsidR="00000000" w:rsidRPr="00000000">
        <w:rPr>
          <w:rFonts w:ascii="Times New Roman" w:cs="Times New Roman" w:eastAsia="Times New Roman" w:hAnsi="Times New Roman"/>
          <w:sz w:val="18"/>
          <w:szCs w:val="18"/>
          <w:rtl w:val="0"/>
        </w:rPr>
        <w:t xml:space="preserve">. CHI ’24: CHI Conference on Human Factors in Computing Systems, Honolulu HI USA. </w:t>
      </w:r>
    </w:p>
    <w:p w:rsidR="00000000" w:rsidDel="00000000" w:rsidP="00000000" w:rsidRDefault="00000000" w:rsidRPr="00000000" w14:paraId="0000006D">
      <w:pPr>
        <w:pBdr>
          <w:top w:color="e3e3e3" w:space="0" w:sz="0" w:val="none"/>
          <w:left w:color="e3e3e3" w:space="0" w:sz="0" w:val="none"/>
          <w:bottom w:color="e3e3e3" w:space="0" w:sz="0" w:val="none"/>
          <w:right w:color="e3e3e3" w:space="0" w:sz="0" w:val="none"/>
          <w:between w:color="e3e3e3" w:space="0" w:sz="0" w:val="none"/>
        </w:pBdr>
        <w:shd w:fill="ffffff" w:val="clear"/>
        <w:spacing w:after="0" w:line="240" w:lineRule="auto"/>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Shulman, L. S. (1986). Those who understand: Knowledge growth in teaching. </w:t>
      </w:r>
      <w:r w:rsidDel="00000000" w:rsidR="00000000" w:rsidRPr="00000000">
        <w:rPr>
          <w:rFonts w:ascii="Times New Roman" w:cs="Times New Roman" w:eastAsia="Times New Roman" w:hAnsi="Times New Roman"/>
          <w:i w:val="1"/>
          <w:sz w:val="18"/>
          <w:szCs w:val="18"/>
          <w:rtl w:val="0"/>
        </w:rPr>
        <w:t xml:space="preserve">Educational Researcher, 15</w:t>
      </w:r>
      <w:r w:rsidDel="00000000" w:rsidR="00000000" w:rsidRPr="00000000">
        <w:rPr>
          <w:rFonts w:ascii="Times New Roman" w:cs="Times New Roman" w:eastAsia="Times New Roman" w:hAnsi="Times New Roman"/>
          <w:sz w:val="18"/>
          <w:szCs w:val="18"/>
          <w:rtl w:val="0"/>
        </w:rPr>
        <w:t xml:space="preserve">(2), 4– 14. </w:t>
      </w:r>
    </w:p>
    <w:p w:rsidR="00000000" w:rsidDel="00000000" w:rsidP="00000000" w:rsidRDefault="00000000" w:rsidRPr="00000000" w14:paraId="0000006E">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1f1f1f"/>
          <w:sz w:val="18"/>
          <w:szCs w:val="18"/>
          <w:rtl w:val="0"/>
        </w:rPr>
        <w:t xml:space="preserve">Steier, F. (Ed.). (1995). Research and reflexivity. London: Sage.</w:t>
      </w: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Team, A. (2022). </w:t>
      </w:r>
      <w:r w:rsidDel="00000000" w:rsidR="00000000" w:rsidRPr="00000000">
        <w:rPr>
          <w:rFonts w:ascii="Times New Roman" w:cs="Times New Roman" w:eastAsia="Times New Roman" w:hAnsi="Times New Roman"/>
          <w:i w:val="1"/>
          <w:sz w:val="18"/>
          <w:szCs w:val="18"/>
          <w:rtl w:val="0"/>
        </w:rPr>
        <w:t xml:space="preserve">Autogpt: the heart of the open-source agent ecosystem</w:t>
      </w: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70">
      <w:pPr>
        <w:pBdr>
          <w:top w:color="e3e3e3" w:space="0" w:sz="0" w:val="none"/>
          <w:left w:color="e3e3e3" w:space="0" w:sz="0" w:val="none"/>
          <w:bottom w:color="e3e3e3" w:space="0" w:sz="0" w:val="none"/>
          <w:right w:color="e3e3e3" w:space="0" w:sz="0" w:val="none"/>
          <w:between w:color="e3e3e3" w:space="0" w:sz="0" w:val="none"/>
        </w:pBdr>
        <w:shd w:fill="ffffff" w:val="clear"/>
        <w:spacing w:after="0" w:line="24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Trust, T., Whalen, J., &amp; Mouza, C. (2023). Editorial: ChatGPT: Challenges, opportunities, and implications for teacher </w:t>
      </w:r>
    </w:p>
    <w:p w:rsidR="00000000" w:rsidDel="00000000" w:rsidP="00000000" w:rsidRDefault="00000000" w:rsidRPr="00000000" w14:paraId="00000071">
      <w:pPr>
        <w:pBdr>
          <w:top w:color="e3e3e3" w:space="0" w:sz="0" w:val="none"/>
          <w:left w:color="e3e3e3" w:space="0" w:sz="0" w:val="none"/>
          <w:bottom w:color="e3e3e3" w:space="0" w:sz="0" w:val="none"/>
          <w:right w:color="e3e3e3" w:space="0" w:sz="0" w:val="none"/>
          <w:between w:color="e3e3e3" w:space="0" w:sz="0" w:val="none"/>
        </w:pBdr>
        <w:shd w:fill="ffffff" w:val="clear"/>
        <w:spacing w:after="0" w:line="240" w:lineRule="auto"/>
        <w:ind w:firstLine="72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education. </w:t>
      </w:r>
      <w:r w:rsidDel="00000000" w:rsidR="00000000" w:rsidRPr="00000000">
        <w:rPr>
          <w:rFonts w:ascii="Times New Roman" w:cs="Times New Roman" w:eastAsia="Times New Roman" w:hAnsi="Times New Roman"/>
          <w:i w:val="1"/>
          <w:sz w:val="18"/>
          <w:szCs w:val="18"/>
          <w:highlight w:val="white"/>
          <w:rtl w:val="0"/>
        </w:rPr>
        <w:t xml:space="preserve">Contemporary Issues in Technology and Teacher Education</w:t>
      </w:r>
      <w:r w:rsidDel="00000000" w:rsidR="00000000" w:rsidRPr="00000000">
        <w:rPr>
          <w:rFonts w:ascii="Times New Roman" w:cs="Times New Roman" w:eastAsia="Times New Roman" w:hAnsi="Times New Roman"/>
          <w:sz w:val="18"/>
          <w:szCs w:val="18"/>
          <w:highlight w:val="white"/>
          <w:rtl w:val="0"/>
        </w:rPr>
        <w:t xml:space="preserve">, </w:t>
      </w:r>
      <w:r w:rsidDel="00000000" w:rsidR="00000000" w:rsidRPr="00000000">
        <w:rPr>
          <w:rFonts w:ascii="Times New Roman" w:cs="Times New Roman" w:eastAsia="Times New Roman" w:hAnsi="Times New Roman"/>
          <w:i w:val="1"/>
          <w:sz w:val="18"/>
          <w:szCs w:val="18"/>
          <w:highlight w:val="white"/>
          <w:rtl w:val="0"/>
        </w:rPr>
        <w:t xml:space="preserve">23</w:t>
      </w:r>
      <w:r w:rsidDel="00000000" w:rsidR="00000000" w:rsidRPr="00000000">
        <w:rPr>
          <w:rFonts w:ascii="Times New Roman" w:cs="Times New Roman" w:eastAsia="Times New Roman" w:hAnsi="Times New Roman"/>
          <w:sz w:val="18"/>
          <w:szCs w:val="18"/>
          <w:highlight w:val="white"/>
          <w:rtl w:val="0"/>
        </w:rPr>
        <w:t xml:space="preserve">(1), 1–23. </w:t>
      </w:r>
    </w:p>
    <w:p w:rsidR="00000000" w:rsidDel="00000000" w:rsidP="00000000" w:rsidRDefault="00000000" w:rsidRPr="00000000" w14:paraId="00000072">
      <w:pPr>
        <w:pBdr>
          <w:top w:color="e3e3e3" w:space="0" w:sz="0" w:val="none"/>
          <w:left w:color="e3e3e3" w:space="0" w:sz="0" w:val="none"/>
          <w:bottom w:color="e3e3e3" w:space="0" w:sz="0" w:val="none"/>
          <w:right w:color="e3e3e3" w:space="0" w:sz="0" w:val="none"/>
          <w:between w:color="e3e3e3" w:space="0" w:sz="0" w:val="none"/>
        </w:pBdr>
        <w:shd w:fill="ffffff" w:val="clear"/>
        <w:spacing w:after="0" w:line="24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Umutlu, D., &amp; Kim, C. (2020). Design guidelines for scaffolding pre‐service teachers’ reflection‐in‐action toward culturally </w:t>
      </w:r>
    </w:p>
    <w:p w:rsidR="00000000" w:rsidDel="00000000" w:rsidP="00000000" w:rsidRDefault="00000000" w:rsidRPr="00000000" w14:paraId="00000073">
      <w:pPr>
        <w:pBdr>
          <w:top w:color="e3e3e3" w:space="0" w:sz="0" w:val="none"/>
          <w:left w:color="e3e3e3" w:space="0" w:sz="0" w:val="none"/>
          <w:bottom w:color="e3e3e3" w:space="0" w:sz="0" w:val="none"/>
          <w:right w:color="e3e3e3" w:space="0" w:sz="0" w:val="none"/>
          <w:between w:color="e3e3e3" w:space="0" w:sz="0" w:val="none"/>
        </w:pBdr>
        <w:shd w:fill="ffffff" w:val="clear"/>
        <w:spacing w:after="0" w:line="240" w:lineRule="auto"/>
        <w:ind w:firstLine="72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responsive teaching. </w:t>
      </w:r>
      <w:r w:rsidDel="00000000" w:rsidR="00000000" w:rsidRPr="00000000">
        <w:rPr>
          <w:rFonts w:ascii="Times New Roman" w:cs="Times New Roman" w:eastAsia="Times New Roman" w:hAnsi="Times New Roman"/>
          <w:i w:val="1"/>
          <w:sz w:val="18"/>
          <w:szCs w:val="18"/>
          <w:highlight w:val="white"/>
          <w:rtl w:val="0"/>
        </w:rPr>
        <w:t xml:space="preserve">Reflective Practice</w:t>
      </w:r>
      <w:r w:rsidDel="00000000" w:rsidR="00000000" w:rsidRPr="00000000">
        <w:rPr>
          <w:rFonts w:ascii="Times New Roman" w:cs="Times New Roman" w:eastAsia="Times New Roman" w:hAnsi="Times New Roman"/>
          <w:sz w:val="18"/>
          <w:szCs w:val="18"/>
          <w:highlight w:val="white"/>
          <w:rtl w:val="0"/>
        </w:rPr>
        <w:t xml:space="preserve">, </w:t>
      </w:r>
      <w:r w:rsidDel="00000000" w:rsidR="00000000" w:rsidRPr="00000000">
        <w:rPr>
          <w:rFonts w:ascii="Times New Roman" w:cs="Times New Roman" w:eastAsia="Times New Roman" w:hAnsi="Times New Roman"/>
          <w:i w:val="1"/>
          <w:sz w:val="18"/>
          <w:szCs w:val="18"/>
          <w:highlight w:val="white"/>
          <w:rtl w:val="0"/>
        </w:rPr>
        <w:t xml:space="preserve">21</w:t>
      </w:r>
      <w:r w:rsidDel="00000000" w:rsidR="00000000" w:rsidRPr="00000000">
        <w:rPr>
          <w:rFonts w:ascii="Times New Roman" w:cs="Times New Roman" w:eastAsia="Times New Roman" w:hAnsi="Times New Roman"/>
          <w:sz w:val="18"/>
          <w:szCs w:val="18"/>
          <w:highlight w:val="white"/>
          <w:rtl w:val="0"/>
        </w:rPr>
        <w:t xml:space="preserve">(5), 587–603. https://doi.org/10.1080/14623943.2020.1779049</w:t>
      </w:r>
    </w:p>
    <w:p w:rsidR="00000000" w:rsidDel="00000000" w:rsidP="00000000" w:rsidRDefault="00000000" w:rsidRPr="00000000" w14:paraId="00000074">
      <w:pPr>
        <w:pBdr>
          <w:top w:color="e3e3e3" w:space="0" w:sz="0" w:val="none"/>
          <w:left w:color="e3e3e3" w:space="0" w:sz="0" w:val="none"/>
          <w:bottom w:color="e3e3e3" w:space="0" w:sz="0" w:val="none"/>
          <w:right w:color="e3e3e3" w:space="0" w:sz="0" w:val="none"/>
          <w:between w:color="e3e3e3" w:space="0" w:sz="0" w:val="none"/>
        </w:pBdr>
        <w:shd w:fill="ffffff" w:val="clear"/>
        <w:spacing w:after="0" w:line="24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Vygotsky, L. S. (1978). </w:t>
      </w:r>
      <w:r w:rsidDel="00000000" w:rsidR="00000000" w:rsidRPr="00000000">
        <w:rPr>
          <w:rFonts w:ascii="Times New Roman" w:cs="Times New Roman" w:eastAsia="Times New Roman" w:hAnsi="Times New Roman"/>
          <w:i w:val="1"/>
          <w:sz w:val="18"/>
          <w:szCs w:val="18"/>
          <w:highlight w:val="white"/>
          <w:rtl w:val="0"/>
        </w:rPr>
        <w:t xml:space="preserve">Mind in society: The development of higher psychological processes</w:t>
      </w:r>
      <w:r w:rsidDel="00000000" w:rsidR="00000000" w:rsidRPr="00000000">
        <w:rPr>
          <w:rFonts w:ascii="Times New Roman" w:cs="Times New Roman" w:eastAsia="Times New Roman" w:hAnsi="Times New Roman"/>
          <w:sz w:val="18"/>
          <w:szCs w:val="18"/>
          <w:highlight w:val="white"/>
          <w:rtl w:val="0"/>
        </w:rPr>
        <w:t xml:space="preserve">. Harvard University Press.</w:t>
      </w:r>
    </w:p>
    <w:p w:rsidR="00000000" w:rsidDel="00000000" w:rsidP="00000000" w:rsidRDefault="00000000" w:rsidRPr="00000000" w14:paraId="00000075">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Wang, L., Ma, C., Feng, X., Zhang, Z., Yang, H., Zhang, J., ... &amp; Wen, J. (2024). A survey on large language model based </w:t>
      </w:r>
    </w:p>
    <w:p w:rsidR="00000000" w:rsidDel="00000000" w:rsidP="00000000" w:rsidRDefault="00000000" w:rsidRPr="00000000" w14:paraId="00000076">
      <w:pPr>
        <w:spacing w:line="240" w:lineRule="auto"/>
        <w:ind w:firstLine="72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autonomous agents. </w:t>
      </w:r>
      <w:r w:rsidDel="00000000" w:rsidR="00000000" w:rsidRPr="00000000">
        <w:rPr>
          <w:rFonts w:ascii="Times New Roman" w:cs="Times New Roman" w:eastAsia="Times New Roman" w:hAnsi="Times New Roman"/>
          <w:i w:val="1"/>
          <w:sz w:val="18"/>
          <w:szCs w:val="18"/>
          <w:rtl w:val="0"/>
        </w:rPr>
        <w:t xml:space="preserve">Frontiers of Computer Science</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i w:val="1"/>
          <w:sz w:val="18"/>
          <w:szCs w:val="18"/>
          <w:rtl w:val="0"/>
        </w:rPr>
        <w:t xml:space="preserve">18</w:t>
      </w:r>
      <w:r w:rsidDel="00000000" w:rsidR="00000000" w:rsidRPr="00000000">
        <w:rPr>
          <w:rFonts w:ascii="Times New Roman" w:cs="Times New Roman" w:eastAsia="Times New Roman" w:hAnsi="Times New Roman"/>
          <w:sz w:val="18"/>
          <w:szCs w:val="18"/>
          <w:rtl w:val="0"/>
        </w:rPr>
        <w:t xml:space="preserve">(6), 186345. </w:t>
      </w:r>
    </w:p>
    <w:p w:rsidR="00000000" w:rsidDel="00000000" w:rsidP="00000000" w:rsidRDefault="00000000" w:rsidRPr="00000000" w14:paraId="00000077">
      <w:pPr>
        <w:spacing w:after="0" w:line="24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Warr, M., Mishra, P., &amp; Scragg, B. (2020). Designing theory. </w:t>
      </w:r>
      <w:r w:rsidDel="00000000" w:rsidR="00000000" w:rsidRPr="00000000">
        <w:rPr>
          <w:rFonts w:ascii="Times New Roman" w:cs="Times New Roman" w:eastAsia="Times New Roman" w:hAnsi="Times New Roman"/>
          <w:i w:val="1"/>
          <w:sz w:val="18"/>
          <w:szCs w:val="18"/>
          <w:highlight w:val="white"/>
          <w:rtl w:val="0"/>
        </w:rPr>
        <w:t xml:space="preserve">Educational Technology Research and Development</w:t>
      </w:r>
      <w:r w:rsidDel="00000000" w:rsidR="00000000" w:rsidRPr="00000000">
        <w:rPr>
          <w:rFonts w:ascii="Times New Roman" w:cs="Times New Roman" w:eastAsia="Times New Roman" w:hAnsi="Times New Roman"/>
          <w:sz w:val="18"/>
          <w:szCs w:val="18"/>
          <w:highlight w:val="white"/>
          <w:rtl w:val="0"/>
        </w:rPr>
        <w:t xml:space="preserve">, </w:t>
      </w:r>
      <w:r w:rsidDel="00000000" w:rsidR="00000000" w:rsidRPr="00000000">
        <w:rPr>
          <w:rFonts w:ascii="Times New Roman" w:cs="Times New Roman" w:eastAsia="Times New Roman" w:hAnsi="Times New Roman"/>
          <w:i w:val="1"/>
          <w:sz w:val="18"/>
          <w:szCs w:val="18"/>
          <w:highlight w:val="white"/>
          <w:rtl w:val="0"/>
        </w:rPr>
        <w:t xml:space="preserve">68</w:t>
      </w:r>
      <w:r w:rsidDel="00000000" w:rsidR="00000000" w:rsidRPr="00000000">
        <w:rPr>
          <w:rFonts w:ascii="Times New Roman" w:cs="Times New Roman" w:eastAsia="Times New Roman" w:hAnsi="Times New Roman"/>
          <w:sz w:val="18"/>
          <w:szCs w:val="18"/>
          <w:highlight w:val="white"/>
          <w:rtl w:val="0"/>
        </w:rPr>
        <w:t xml:space="preserve">(2), </w:t>
      </w:r>
    </w:p>
    <w:p w:rsidR="00000000" w:rsidDel="00000000" w:rsidP="00000000" w:rsidRDefault="00000000" w:rsidRPr="00000000" w14:paraId="00000078">
      <w:pPr>
        <w:spacing w:after="0" w:line="240" w:lineRule="auto"/>
        <w:ind w:firstLine="72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601–632. https://doi.org/10.1007/s11423-020-09746-9</w:t>
      </w:r>
    </w:p>
    <w:p w:rsidR="00000000" w:rsidDel="00000000" w:rsidP="00000000" w:rsidRDefault="00000000" w:rsidRPr="00000000" w14:paraId="00000079">
      <w:pPr>
        <w:spacing w:after="0" w:line="24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Wu, Y. (2024). Critical thinking pedagogics design in an era of ChatGPT and other ai tools—shifting from teaching “what” to </w:t>
      </w:r>
    </w:p>
    <w:p w:rsidR="00000000" w:rsidDel="00000000" w:rsidP="00000000" w:rsidRDefault="00000000" w:rsidRPr="00000000" w14:paraId="0000007A">
      <w:pPr>
        <w:spacing w:after="0" w:line="240" w:lineRule="auto"/>
        <w:ind w:firstLine="72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teaching “why” and “how”. </w:t>
      </w:r>
      <w:r w:rsidDel="00000000" w:rsidR="00000000" w:rsidRPr="00000000">
        <w:rPr>
          <w:rFonts w:ascii="Times New Roman" w:cs="Times New Roman" w:eastAsia="Times New Roman" w:hAnsi="Times New Roman"/>
          <w:i w:val="1"/>
          <w:sz w:val="18"/>
          <w:szCs w:val="18"/>
          <w:highlight w:val="white"/>
          <w:rtl w:val="0"/>
        </w:rPr>
        <w:t xml:space="preserve">Journal of Education and Development</w:t>
      </w:r>
      <w:r w:rsidDel="00000000" w:rsidR="00000000" w:rsidRPr="00000000">
        <w:rPr>
          <w:rFonts w:ascii="Times New Roman" w:cs="Times New Roman" w:eastAsia="Times New Roman" w:hAnsi="Times New Roman"/>
          <w:sz w:val="18"/>
          <w:szCs w:val="18"/>
          <w:highlight w:val="white"/>
          <w:rtl w:val="0"/>
        </w:rPr>
        <w:t xml:space="preserve">, </w:t>
      </w:r>
      <w:r w:rsidDel="00000000" w:rsidR="00000000" w:rsidRPr="00000000">
        <w:rPr>
          <w:rFonts w:ascii="Times New Roman" w:cs="Times New Roman" w:eastAsia="Times New Roman" w:hAnsi="Times New Roman"/>
          <w:i w:val="1"/>
          <w:sz w:val="18"/>
          <w:szCs w:val="18"/>
          <w:highlight w:val="white"/>
          <w:rtl w:val="0"/>
        </w:rPr>
        <w:t xml:space="preserve">8</w:t>
      </w:r>
      <w:r w:rsidDel="00000000" w:rsidR="00000000" w:rsidRPr="00000000">
        <w:rPr>
          <w:rFonts w:ascii="Times New Roman" w:cs="Times New Roman" w:eastAsia="Times New Roman" w:hAnsi="Times New Roman"/>
          <w:sz w:val="18"/>
          <w:szCs w:val="18"/>
          <w:highlight w:val="white"/>
          <w:rtl w:val="0"/>
        </w:rPr>
        <w:t xml:space="preserve">(1), 1.</w:t>
      </w:r>
    </w:p>
    <w:p w:rsidR="00000000" w:rsidDel="00000000" w:rsidP="00000000" w:rsidRDefault="00000000" w:rsidRPr="00000000" w14:paraId="0000007B">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Xi, Z., Chen, W., Guo, X., He, W., Ding, Y., Hong, B., ... &amp; Gui, T. (2025). The rise and potential of large</w:t>
      </w:r>
    </w:p>
    <w:p w:rsidR="00000000" w:rsidDel="00000000" w:rsidP="00000000" w:rsidRDefault="00000000" w:rsidRPr="00000000" w14:paraId="0000007C">
      <w:pPr>
        <w:spacing w:line="240" w:lineRule="auto"/>
        <w:ind w:left="7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language model-based agents: A survey. </w:t>
      </w:r>
      <w:r w:rsidDel="00000000" w:rsidR="00000000" w:rsidRPr="00000000">
        <w:rPr>
          <w:rFonts w:ascii="Times New Roman" w:cs="Times New Roman" w:eastAsia="Times New Roman" w:hAnsi="Times New Roman"/>
          <w:i w:val="1"/>
          <w:sz w:val="18"/>
          <w:szCs w:val="18"/>
          <w:rtl w:val="0"/>
        </w:rPr>
        <w:t xml:space="preserve">Science China Information Sciences</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i w:val="1"/>
          <w:sz w:val="18"/>
          <w:szCs w:val="18"/>
          <w:rtl w:val="0"/>
        </w:rPr>
        <w:t xml:space="preserve">68</w:t>
      </w:r>
      <w:r w:rsidDel="00000000" w:rsidR="00000000" w:rsidRPr="00000000">
        <w:rPr>
          <w:rFonts w:ascii="Times New Roman" w:cs="Times New Roman" w:eastAsia="Times New Roman" w:hAnsi="Times New Roman"/>
          <w:sz w:val="18"/>
          <w:szCs w:val="18"/>
          <w:rtl w:val="0"/>
        </w:rPr>
        <w:t xml:space="preserve">(2), 121101. </w:t>
      </w:r>
    </w:p>
    <w:p w:rsidR="00000000" w:rsidDel="00000000" w:rsidP="00000000" w:rsidRDefault="00000000" w:rsidRPr="00000000" w14:paraId="0000007D">
      <w:pPr>
        <w:spacing w:after="0" w:line="240" w:lineRule="auto"/>
        <w:rPr>
          <w:rFonts w:ascii="Times New Roman" w:cs="Times New Roman" w:eastAsia="Times New Roman" w:hAnsi="Times New Roman"/>
          <w:color w:val="222222"/>
          <w:sz w:val="18"/>
          <w:szCs w:val="18"/>
          <w:highlight w:val="white"/>
        </w:rPr>
      </w:pPr>
      <w:r w:rsidDel="00000000" w:rsidR="00000000" w:rsidRPr="00000000">
        <w:rPr>
          <w:rFonts w:ascii="Times New Roman" w:cs="Times New Roman" w:eastAsia="Times New Roman" w:hAnsi="Times New Roman"/>
          <w:color w:val="222222"/>
          <w:sz w:val="18"/>
          <w:szCs w:val="18"/>
          <w:highlight w:val="white"/>
          <w:rtl w:val="0"/>
        </w:rPr>
        <w:t xml:space="preserve">Yan, L., Sha, L., Zhao, L., Li, Y., Martinez‐Maldonado, R., Chen, G., ... &amp; Gašević, D. (2024). Practical and ethical challenges of </w:t>
      </w:r>
    </w:p>
    <w:p w:rsidR="00000000" w:rsidDel="00000000" w:rsidP="00000000" w:rsidRDefault="00000000" w:rsidRPr="00000000" w14:paraId="0000007E">
      <w:pPr>
        <w:spacing w:after="0" w:line="240" w:lineRule="auto"/>
        <w:ind w:left="7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222222"/>
          <w:sz w:val="18"/>
          <w:szCs w:val="18"/>
          <w:highlight w:val="white"/>
          <w:rtl w:val="0"/>
        </w:rPr>
        <w:t xml:space="preserve">large language models in education: A systematic scoping review. </w:t>
      </w:r>
      <w:r w:rsidDel="00000000" w:rsidR="00000000" w:rsidRPr="00000000">
        <w:rPr>
          <w:rFonts w:ascii="Times New Roman" w:cs="Times New Roman" w:eastAsia="Times New Roman" w:hAnsi="Times New Roman"/>
          <w:i w:val="1"/>
          <w:color w:val="222222"/>
          <w:sz w:val="18"/>
          <w:szCs w:val="18"/>
          <w:highlight w:val="white"/>
          <w:rtl w:val="0"/>
        </w:rPr>
        <w:t xml:space="preserve">British Journal of Educational Technology</w:t>
      </w:r>
      <w:r w:rsidDel="00000000" w:rsidR="00000000" w:rsidRPr="00000000">
        <w:rPr>
          <w:rFonts w:ascii="Times New Roman" w:cs="Times New Roman" w:eastAsia="Times New Roman" w:hAnsi="Times New Roman"/>
          <w:color w:val="222222"/>
          <w:sz w:val="18"/>
          <w:szCs w:val="18"/>
          <w:highlight w:val="white"/>
          <w:rtl w:val="0"/>
        </w:rPr>
        <w:t xml:space="preserve">, </w:t>
      </w:r>
      <w:r w:rsidDel="00000000" w:rsidR="00000000" w:rsidRPr="00000000">
        <w:rPr>
          <w:rFonts w:ascii="Times New Roman" w:cs="Times New Roman" w:eastAsia="Times New Roman" w:hAnsi="Times New Roman"/>
          <w:i w:val="1"/>
          <w:color w:val="222222"/>
          <w:sz w:val="18"/>
          <w:szCs w:val="18"/>
          <w:highlight w:val="white"/>
          <w:rtl w:val="0"/>
        </w:rPr>
        <w:t xml:space="preserve">55</w:t>
      </w:r>
      <w:r w:rsidDel="00000000" w:rsidR="00000000" w:rsidRPr="00000000">
        <w:rPr>
          <w:rFonts w:ascii="Times New Roman" w:cs="Times New Roman" w:eastAsia="Times New Roman" w:hAnsi="Times New Roman"/>
          <w:color w:val="222222"/>
          <w:sz w:val="18"/>
          <w:szCs w:val="18"/>
          <w:highlight w:val="white"/>
          <w:rtl w:val="0"/>
        </w:rPr>
        <w:t xml:space="preserve">(1), 90-112.</w:t>
      </w:r>
      <w:r w:rsidDel="00000000" w:rsidR="00000000" w:rsidRPr="00000000">
        <w:rPr>
          <w:rtl w:val="0"/>
        </w:rPr>
      </w:r>
    </w:p>
    <w:p w:rsidR="00000000" w:rsidDel="00000000" w:rsidP="00000000" w:rsidRDefault="00000000" w:rsidRPr="00000000" w14:paraId="0000007F">
      <w:pPr>
        <w:spacing w:after="0" w:line="24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Zeichner, K. M., &amp; Liston, D. P. (1996). </w:t>
      </w:r>
      <w:r w:rsidDel="00000000" w:rsidR="00000000" w:rsidRPr="00000000">
        <w:rPr>
          <w:rFonts w:ascii="Times New Roman" w:cs="Times New Roman" w:eastAsia="Times New Roman" w:hAnsi="Times New Roman"/>
          <w:i w:val="1"/>
          <w:sz w:val="18"/>
          <w:szCs w:val="18"/>
          <w:highlight w:val="white"/>
          <w:rtl w:val="0"/>
        </w:rPr>
        <w:t xml:space="preserve">Reflective teaching: An introduction</w:t>
      </w:r>
      <w:r w:rsidDel="00000000" w:rsidR="00000000" w:rsidRPr="00000000">
        <w:rPr>
          <w:rFonts w:ascii="Times New Roman" w:cs="Times New Roman" w:eastAsia="Times New Roman" w:hAnsi="Times New Roman"/>
          <w:sz w:val="18"/>
          <w:szCs w:val="18"/>
          <w:highlight w:val="white"/>
          <w:rtl w:val="0"/>
        </w:rPr>
        <w:t xml:space="preserve">. Manwah, NJ: Lawrence Erlbaum Associates.</w:t>
      </w:r>
    </w:p>
    <w:p w:rsidR="00000000" w:rsidDel="00000000" w:rsidP="00000000" w:rsidRDefault="00000000" w:rsidRPr="00000000" w14:paraId="00000080">
      <w:pPr>
        <w:rPr>
          <w:color w:val="222222"/>
          <w:sz w:val="20"/>
          <w:szCs w:val="20"/>
          <w:highlight w:val="white"/>
        </w:rPr>
      </w:pPr>
      <w:r w:rsidDel="00000000" w:rsidR="00000000" w:rsidRPr="00000000">
        <w:rPr>
          <w:rtl w:val="0"/>
        </w:rPr>
      </w:r>
    </w:p>
    <w:p w:rsidR="00000000" w:rsidDel="00000000" w:rsidP="00000000" w:rsidRDefault="00000000" w:rsidRPr="00000000" w14:paraId="00000081">
      <w:pPr>
        <w:spacing w:after="240" w:before="24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after="240" w:before="24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i.org/10.1145/3526113.3545616" TargetMode="External"/><Relationship Id="rId10" Type="http://schemas.openxmlformats.org/officeDocument/2006/relationships/hyperlink" Target="https://doi.org/10.1145/3586183.3606763" TargetMode="External"/><Relationship Id="rId9" Type="http://schemas.openxmlformats.org/officeDocument/2006/relationships/hyperlink" Target="https://www.learntechlib.org/primary/p/224717/" TargetMode="External"/><Relationship Id="rId5" Type="http://schemas.openxmlformats.org/officeDocument/2006/relationships/styles" Target="styles.xml"/><Relationship Id="rId6" Type="http://schemas.openxmlformats.org/officeDocument/2006/relationships/hyperlink" Target="mailto:suparna@nmsu.edu" TargetMode="External"/><Relationship Id="rId7" Type="http://schemas.openxmlformats.org/officeDocument/2006/relationships/hyperlink" Target="mailto:warr@nmsu.edu"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